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540C90">
      <w:pPr>
        <w:rPr>
          <w:rFonts w:eastAsia="黑体"/>
        </w:rPr>
      </w:pPr>
      <w:r>
        <w:rPr>
          <w:rFonts w:eastAsia="黑体"/>
        </w:rPr>
        <w:t xml:space="preserve">ICS </w:t>
      </w:r>
    </w:p>
    <w:p w14:paraId="42783DDD">
      <w:pPr>
        <w:rPr>
          <w:rFonts w:eastAsia="黑体"/>
        </w:rPr>
      </w:pPr>
      <w:r>
        <w:rPr>
          <w:rFonts w:eastAsia="黑体"/>
        </w:rPr>
        <w:t xml:space="preserve">CCS </w:t>
      </w:r>
    </w:p>
    <w:p w14:paraId="6E032F19">
      <w:r>
        <w:t xml:space="preserve">                                                                         </w:t>
      </w:r>
    </w:p>
    <w:p w14:paraId="619AAD71">
      <w:pPr>
        <w:rPr>
          <w:rFonts w:ascii="宋体"/>
          <w:b/>
          <w:spacing w:val="16"/>
          <w:w w:val="150"/>
          <w:position w:val="6"/>
          <w:sz w:val="52"/>
        </w:rPr>
      </w:pPr>
    </w:p>
    <w:p w14:paraId="391F172D">
      <w:pPr>
        <w:pStyle w:val="25"/>
        <w:spacing w:line="240" w:lineRule="auto"/>
        <w:jc w:val="distribute"/>
        <w:rPr>
          <w:sz w:val="96"/>
        </w:rPr>
      </w:pPr>
      <w:r>
        <w:rPr>
          <w:rFonts w:hint="eastAsia"/>
          <w:sz w:val="96"/>
        </w:rPr>
        <w:t>团 体 标 准</w:t>
      </w:r>
    </w:p>
    <w:p w14:paraId="52E1EF72">
      <w:pPr>
        <w:ind w:left="6961" w:firstLine="383"/>
        <w:rPr>
          <w:rFonts w:ascii="宋体"/>
          <w:sz w:val="18"/>
        </w:rPr>
      </w:pPr>
      <w:r>
        <w:rPr>
          <w:rFonts w:ascii="黑体" w:eastAsia="黑体"/>
          <w:sz w:val="18"/>
        </w:rPr>
        <w:t xml:space="preserve">   </w:t>
      </w:r>
      <w:r>
        <w:rPr>
          <w:rFonts w:hint="eastAsia" w:ascii="宋体"/>
          <w:sz w:val="18"/>
        </w:rPr>
        <w:t xml:space="preserve">   </w:t>
      </w:r>
      <w:r>
        <w:rPr>
          <w:rFonts w:ascii="宋体"/>
          <w:sz w:val="18"/>
        </w:rPr>
        <w:tab/>
      </w:r>
      <w:r>
        <w:rPr>
          <w:rFonts w:ascii="宋体"/>
          <w:sz w:val="18"/>
        </w:rPr>
        <w:t xml:space="preserve"> </w:t>
      </w:r>
    </w:p>
    <w:p w14:paraId="5DFB92EB">
      <w:pPr>
        <w:ind w:right="-2"/>
        <w:jc w:val="right"/>
        <w:rPr>
          <w:rFonts w:ascii="黑体" w:eastAsia="黑体"/>
          <w:sz w:val="28"/>
        </w:rPr>
      </w:pPr>
      <w:r>
        <w:rPr>
          <w:rFonts w:ascii="黑体" w:eastAsia="黑体"/>
          <w:sz w:val="28"/>
          <w:szCs w:val="28"/>
        </w:rPr>
        <w:t>T/C</w:t>
      </w:r>
      <w:r>
        <w:rPr>
          <w:rFonts w:hint="eastAsia" w:ascii="黑体" w:eastAsia="黑体"/>
          <w:sz w:val="28"/>
          <w:szCs w:val="28"/>
        </w:rPr>
        <w:t>I</w:t>
      </w:r>
      <w:r>
        <w:rPr>
          <w:rFonts w:ascii="黑体" w:eastAsia="黑体"/>
          <w:sz w:val="28"/>
          <w:szCs w:val="28"/>
        </w:rPr>
        <w:t xml:space="preserve"> XXX-202X</w:t>
      </w:r>
      <w:r>
        <w:rPr>
          <w:rFonts w:ascii="黑体" w:eastAsia="黑体"/>
          <w:sz w:val="28"/>
        </w:rPr>
        <w:t xml:space="preserve">                                             </w:t>
      </w:r>
    </w:p>
    <w:p w14:paraId="0D20CC9B">
      <w:pPr>
        <w:pStyle w:val="23"/>
      </w:pPr>
      <w:r>
        <mc:AlternateContent>
          <mc:Choice Requires="wps">
            <w:drawing>
              <wp:anchor distT="0" distB="0" distL="114300" distR="114300" simplePos="0" relativeHeight="251659264" behindDoc="0" locked="0" layoutInCell="0" allowOverlap="1">
                <wp:simplePos x="0" y="0"/>
                <wp:positionH relativeFrom="margin">
                  <wp:posOffset>74295</wp:posOffset>
                </wp:positionH>
                <wp:positionV relativeFrom="page">
                  <wp:posOffset>2639695</wp:posOffset>
                </wp:positionV>
                <wp:extent cx="6120130" cy="1270"/>
                <wp:effectExtent l="12700" t="10795" r="10795" b="6985"/>
                <wp:wrapNone/>
                <wp:docPr id="5" name="任意多边形 5"/>
                <wp:cNvGraphicFramePr/>
                <a:graphic xmlns:a="http://schemas.openxmlformats.org/drawingml/2006/main">
                  <a:graphicData uri="http://schemas.microsoft.com/office/word/2010/wordprocessingShape">
                    <wps:wsp>
                      <wps:cNvSpPr/>
                      <wps:spPr bwMode="auto">
                        <a:xfrm>
                          <a:off x="0" y="0"/>
                          <a:ext cx="6120130" cy="1270"/>
                        </a:xfrm>
                        <a:custGeom>
                          <a:avLst/>
                          <a:gdLst>
                            <a:gd name="T0" fmla="*/ 0 w 9722"/>
                            <a:gd name="T1" fmla="*/ 0 h 2"/>
                            <a:gd name="T2" fmla="*/ 9722 w 9722"/>
                            <a:gd name="T3" fmla="*/ 2 h 2"/>
                          </a:gdLst>
                          <a:ahLst/>
                          <a:cxnLst>
                            <a:cxn ang="0">
                              <a:pos x="T0" y="T1"/>
                            </a:cxn>
                            <a:cxn ang="0">
                              <a:pos x="T2" y="T3"/>
                            </a:cxn>
                          </a:cxnLst>
                          <a:rect l="0" t="0" r="r" b="b"/>
                          <a:pathLst>
                            <a:path w="9722" h="2">
                              <a:moveTo>
                                <a:pt x="0" y="0"/>
                              </a:moveTo>
                              <a:lnTo>
                                <a:pt x="9722" y="2"/>
                              </a:lnTo>
                            </a:path>
                          </a:pathLst>
                        </a:custGeom>
                        <a:noFill/>
                        <a:ln w="9525" cap="flat" cmpd="sng">
                          <a:solidFill>
                            <a:srgbClr val="000000"/>
                          </a:solidFill>
                          <a:prstDash val="solid"/>
                          <a:round/>
                          <a:headEnd type="none" w="med" len="med"/>
                          <a:tailEnd type="none" w="med" len="med"/>
                        </a:ln>
                        <a:effectLst/>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5.85pt;margin-top:207.85pt;height:0.1pt;width:481.9pt;mso-position-horizontal-relative:margin;mso-position-vertical-relative:page;z-index:251659264;mso-width-relative:page;mso-height-relative:page;" filled="f" stroked="t" coordsize="9722,2" o:allowincell="f" o:gfxdata="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" path="m0,0l9722,2e">
                <v:path o:connectlocs="0,0;6120130,1270" o:connectangles="0,0"/>
                <v:fill on="f" focussize="0,0"/>
                <v:stroke color="#000000" joinstyle="round"/>
                <v:imagedata o:title=""/>
                <o:lock v:ext="edit" aspectratio="f"/>
              </v:shape>
            </w:pict>
          </mc:Fallback>
        </mc:AlternateContent>
      </w:r>
    </w:p>
    <w:p w14:paraId="04C97AB2">
      <w:pPr>
        <w:pStyle w:val="23"/>
      </w:pPr>
    </w:p>
    <w:p w14:paraId="6D0AAD30">
      <w:pPr>
        <w:pStyle w:val="25"/>
        <w:rPr>
          <w:rFonts w:hint="eastAsia" w:eastAsia="黑体"/>
          <w:sz w:val="48"/>
          <w:lang w:eastAsia="zh-CN"/>
        </w:rPr>
      </w:pPr>
      <w:r>
        <w:rPr>
          <w:rFonts w:hint="eastAsia"/>
          <w:sz w:val="48"/>
        </w:rPr>
        <w:t>灌区生态灌渠建设</w:t>
      </w:r>
      <w:bookmarkStart w:id="18" w:name="_GoBack"/>
      <w:bookmarkEnd w:id="18"/>
      <w:r>
        <w:rPr>
          <w:rFonts w:hint="eastAsia"/>
          <w:sz w:val="48"/>
          <w:lang w:eastAsia="zh-CN"/>
        </w:rPr>
        <w:t>规范</w:t>
      </w:r>
    </w:p>
    <w:p w14:paraId="5B0B508A">
      <w:pPr>
        <w:pStyle w:val="24"/>
        <w:rPr>
          <w:rFonts w:ascii="黑体"/>
          <w:sz w:val="30"/>
        </w:rPr>
      </w:pPr>
      <w:r>
        <w:t xml:space="preserve">Guide for the </w:t>
      </w:r>
      <w:r>
        <w:rPr>
          <w:rFonts w:hint="eastAsia"/>
        </w:rPr>
        <w:t>c</w:t>
      </w:r>
      <w:r>
        <w:t xml:space="preserve">onstruction of </w:t>
      </w:r>
      <w:r>
        <w:rPr>
          <w:rFonts w:hint="eastAsia"/>
        </w:rPr>
        <w:t>e</w:t>
      </w:r>
      <w:r>
        <w:t xml:space="preserve">cological </w:t>
      </w:r>
      <w:r>
        <w:rPr>
          <w:rFonts w:hint="eastAsia"/>
        </w:rPr>
        <w:t>i</w:t>
      </w:r>
      <w:r>
        <w:t xml:space="preserve">rrigation </w:t>
      </w:r>
      <w:r>
        <w:rPr>
          <w:rFonts w:hint="eastAsia"/>
        </w:rPr>
        <w:t>c</w:t>
      </w:r>
      <w:r>
        <w:t xml:space="preserve">anals in </w:t>
      </w:r>
      <w:r>
        <w:rPr>
          <w:rFonts w:hint="eastAsia"/>
        </w:rPr>
        <w:t>i</w:t>
      </w:r>
      <w:r>
        <w:t xml:space="preserve">rrigation </w:t>
      </w:r>
      <w:r>
        <w:rPr>
          <w:rFonts w:hint="eastAsia"/>
        </w:rPr>
        <w:t>d</w:t>
      </w:r>
      <w:r>
        <w:t>istricts</w:t>
      </w:r>
    </w:p>
    <w:p w14:paraId="4C14400B">
      <w:pPr>
        <w:tabs>
          <w:tab w:val="left" w:pos="6120"/>
          <w:tab w:val="left" w:pos="8820"/>
        </w:tabs>
        <w:jc w:val="center"/>
        <w:rPr>
          <w:rFonts w:ascii="黑体" w:eastAsia="黑体"/>
          <w:sz w:val="30"/>
        </w:rPr>
      </w:pPr>
    </w:p>
    <w:p w14:paraId="601CDCD6">
      <w:pPr>
        <w:tabs>
          <w:tab w:val="left" w:pos="6120"/>
          <w:tab w:val="left" w:pos="8820"/>
        </w:tabs>
        <w:jc w:val="center"/>
        <w:rPr>
          <w:rFonts w:ascii="黑体" w:eastAsia="黑体"/>
          <w:sz w:val="30"/>
        </w:rPr>
      </w:pPr>
      <w:r>
        <w:rPr>
          <w:rFonts w:hint="eastAsia" w:ascii="黑体" w:eastAsia="黑体"/>
          <w:sz w:val="30"/>
        </w:rPr>
        <w:t>(草案稿)</w:t>
      </w:r>
    </w:p>
    <w:p w14:paraId="1C690FFC">
      <w:pPr>
        <w:tabs>
          <w:tab w:val="left" w:pos="6120"/>
          <w:tab w:val="left" w:pos="8820"/>
        </w:tabs>
        <w:jc w:val="center"/>
        <w:rPr>
          <w:rFonts w:ascii="黑体" w:eastAsia="黑体"/>
          <w:sz w:val="28"/>
        </w:rPr>
      </w:pPr>
    </w:p>
    <w:p w14:paraId="066A33DE">
      <w:pPr>
        <w:tabs>
          <w:tab w:val="left" w:pos="6120"/>
          <w:tab w:val="left" w:pos="8820"/>
        </w:tabs>
        <w:ind w:firstLine="570"/>
        <w:jc w:val="left"/>
        <w:rPr>
          <w:rFonts w:ascii="黑体" w:eastAsia="黑体"/>
          <w:szCs w:val="21"/>
        </w:rPr>
      </w:pPr>
    </w:p>
    <w:p w14:paraId="42057850">
      <w:pPr>
        <w:jc w:val="center"/>
        <w:rPr>
          <w:rFonts w:cs="Calibri"/>
          <w:sz w:val="36"/>
          <w:szCs w:val="36"/>
        </w:rPr>
      </w:pPr>
      <w:r>
        <w:rPr>
          <w:rFonts w:hint="eastAsia" w:ascii="黑体" w:hAnsi="黑体" w:eastAsia="黑体"/>
        </w:rPr>
        <w:t>请将你们发现的有关专利的内容和支持性文件随意见一并返回</w:t>
      </w:r>
    </w:p>
    <w:p w14:paraId="698D96D7">
      <w:pPr>
        <w:tabs>
          <w:tab w:val="left" w:pos="6120"/>
          <w:tab w:val="left" w:pos="8820"/>
        </w:tabs>
        <w:ind w:firstLine="570"/>
        <w:jc w:val="left"/>
        <w:rPr>
          <w:rFonts w:ascii="黑体" w:eastAsia="黑体"/>
          <w:sz w:val="28"/>
        </w:rPr>
      </w:pPr>
    </w:p>
    <w:p w14:paraId="5C899E40">
      <w:pPr>
        <w:tabs>
          <w:tab w:val="left" w:pos="6120"/>
          <w:tab w:val="left" w:pos="8820"/>
        </w:tabs>
        <w:ind w:firstLine="570"/>
        <w:jc w:val="left"/>
        <w:rPr>
          <w:rFonts w:ascii="黑体" w:eastAsia="黑体"/>
          <w:sz w:val="28"/>
        </w:rPr>
      </w:pPr>
    </w:p>
    <w:p w14:paraId="1048AFD2">
      <w:pPr>
        <w:tabs>
          <w:tab w:val="left" w:pos="6120"/>
          <w:tab w:val="left" w:pos="8820"/>
        </w:tabs>
        <w:ind w:firstLine="570"/>
        <w:jc w:val="left"/>
        <w:rPr>
          <w:rFonts w:ascii="黑体" w:eastAsia="黑体"/>
          <w:sz w:val="28"/>
        </w:rPr>
      </w:pPr>
    </w:p>
    <w:p w14:paraId="1D9D3282">
      <w:pPr>
        <w:tabs>
          <w:tab w:val="left" w:pos="6120"/>
          <w:tab w:val="left" w:pos="8820"/>
        </w:tabs>
        <w:ind w:firstLine="570"/>
        <w:jc w:val="left"/>
        <w:rPr>
          <w:rFonts w:ascii="黑体" w:eastAsia="黑体"/>
          <w:sz w:val="28"/>
        </w:rPr>
      </w:pPr>
    </w:p>
    <w:p w14:paraId="2EF63BFD">
      <w:pPr>
        <w:tabs>
          <w:tab w:val="left" w:pos="6120"/>
          <w:tab w:val="left" w:pos="8820"/>
        </w:tabs>
        <w:ind w:firstLine="570"/>
        <w:jc w:val="left"/>
        <w:rPr>
          <w:rFonts w:ascii="黑体" w:eastAsia="黑体"/>
          <w:sz w:val="28"/>
        </w:rPr>
      </w:pPr>
    </w:p>
    <w:p w14:paraId="2C053BB3">
      <w:pPr>
        <w:tabs>
          <w:tab w:val="left" w:pos="6120"/>
          <w:tab w:val="left" w:pos="8820"/>
        </w:tabs>
        <w:ind w:firstLine="570"/>
        <w:jc w:val="left"/>
        <w:rPr>
          <w:rFonts w:ascii="黑体" w:eastAsia="黑体"/>
          <w:sz w:val="28"/>
        </w:rPr>
      </w:pPr>
    </w:p>
    <w:p w14:paraId="6E102DCC">
      <w:pPr>
        <w:tabs>
          <w:tab w:val="left" w:pos="6120"/>
          <w:tab w:val="left" w:pos="8820"/>
        </w:tabs>
        <w:ind w:firstLine="570"/>
        <w:jc w:val="left"/>
        <w:rPr>
          <w:rFonts w:ascii="黑体" w:eastAsia="黑体"/>
          <w:sz w:val="28"/>
        </w:rPr>
      </w:pPr>
    </w:p>
    <w:p w14:paraId="5495656E">
      <w:pPr>
        <w:tabs>
          <w:tab w:val="left" w:pos="6120"/>
          <w:tab w:val="left" w:pos="8820"/>
        </w:tabs>
        <w:ind w:firstLine="570"/>
        <w:jc w:val="left"/>
        <w:rPr>
          <w:rFonts w:ascii="黑体" w:eastAsia="黑体"/>
          <w:sz w:val="28"/>
        </w:rPr>
      </w:pPr>
    </w:p>
    <w:p w14:paraId="7E1CA064">
      <w:pPr>
        <w:tabs>
          <w:tab w:val="left" w:pos="6120"/>
          <w:tab w:val="left" w:pos="8820"/>
        </w:tabs>
        <w:ind w:firstLine="570"/>
        <w:jc w:val="left"/>
        <w:rPr>
          <w:rFonts w:ascii="黑体" w:eastAsia="黑体"/>
          <w:sz w:val="28"/>
        </w:rPr>
      </w:pPr>
    </w:p>
    <w:p w14:paraId="54AE42D5">
      <w:pPr>
        <w:tabs>
          <w:tab w:val="left" w:pos="6120"/>
          <w:tab w:val="left" w:pos="8820"/>
        </w:tabs>
        <w:ind w:firstLine="570"/>
        <w:jc w:val="left"/>
        <w:rPr>
          <w:rFonts w:ascii="黑体" w:eastAsia="黑体"/>
          <w:sz w:val="28"/>
        </w:rPr>
      </w:pPr>
    </w:p>
    <w:p w14:paraId="7934FC84">
      <w:pPr>
        <w:tabs>
          <w:tab w:val="left" w:pos="6120"/>
          <w:tab w:val="left" w:pos="8820"/>
        </w:tabs>
        <w:ind w:firstLine="570"/>
        <w:jc w:val="left"/>
        <w:rPr>
          <w:rFonts w:ascii="黑体" w:eastAsia="黑体"/>
          <w:sz w:val="28"/>
        </w:rPr>
      </w:pPr>
    </w:p>
    <w:p w14:paraId="38140B1A">
      <w:pPr>
        <w:tabs>
          <w:tab w:val="left" w:pos="6120"/>
          <w:tab w:val="left" w:pos="8820"/>
        </w:tabs>
        <w:spacing w:line="280" w:lineRule="exact"/>
        <w:ind w:firstLine="573"/>
        <w:jc w:val="left"/>
        <w:rPr>
          <w:rFonts w:ascii="黑体" w:eastAsia="黑体"/>
          <w:sz w:val="28"/>
        </w:rPr>
      </w:pPr>
    </w:p>
    <w:p w14:paraId="44555D5C">
      <w:pPr>
        <w:tabs>
          <w:tab w:val="left" w:pos="6120"/>
          <w:tab w:val="left" w:pos="8820"/>
        </w:tabs>
        <w:spacing w:line="280" w:lineRule="exact"/>
        <w:ind w:firstLine="573"/>
        <w:jc w:val="left"/>
        <w:rPr>
          <w:rFonts w:ascii="黑体" w:eastAsia="黑体"/>
          <w:sz w:val="28"/>
        </w:rPr>
      </w:pPr>
    </w:p>
    <w:p w14:paraId="192AADE2">
      <w:pPr>
        <w:tabs>
          <w:tab w:val="left" w:pos="6120"/>
          <w:tab w:val="left" w:pos="8820"/>
        </w:tabs>
        <w:spacing w:line="280" w:lineRule="exact"/>
        <w:ind w:firstLine="573"/>
        <w:jc w:val="left"/>
        <w:rPr>
          <w:rFonts w:ascii="黑体" w:eastAsia="黑体"/>
          <w:sz w:val="28"/>
        </w:rPr>
      </w:pPr>
    </w:p>
    <w:p w14:paraId="258FAD5B">
      <w:pPr>
        <w:tabs>
          <w:tab w:val="left" w:pos="6120"/>
          <w:tab w:val="left" w:pos="8820"/>
        </w:tabs>
        <w:spacing w:line="280" w:lineRule="exact"/>
        <w:ind w:firstLine="573"/>
        <w:jc w:val="left"/>
        <w:rPr>
          <w:rFonts w:ascii="黑体" w:eastAsia="黑体"/>
          <w:sz w:val="28"/>
        </w:rPr>
      </w:pPr>
    </w:p>
    <w:p w14:paraId="000EEE69">
      <w:pPr>
        <w:pStyle w:val="26"/>
        <w:rPr>
          <w:rFonts w:ascii="黑体"/>
        </w:rPr>
      </w:pPr>
      <w:r>
        <w:rPr>
          <w:rFonts w:hint="eastAsia" w:ascii="黑体"/>
        </w:rPr>
        <w:t>20</w:t>
      </w:r>
      <w:r>
        <w:rPr>
          <w:rFonts w:ascii="黑体"/>
        </w:rPr>
        <w:t>2</w:t>
      </w:r>
      <w:r>
        <w:rPr>
          <w:rFonts w:hint="eastAsia" w:ascii="黑体"/>
        </w:rPr>
        <w:t>X–XX–XX发布                                20</w:t>
      </w:r>
      <w:r>
        <w:rPr>
          <w:rFonts w:ascii="黑体"/>
        </w:rPr>
        <w:t>2</w:t>
      </w:r>
      <w:r>
        <w:rPr>
          <w:rFonts w:hint="eastAsia" w:ascii="黑体"/>
        </w:rPr>
        <w:t>X–XX–XX实施</w:t>
      </w:r>
    </w:p>
    <w:p w14:paraId="7108AF5A">
      <w:pPr>
        <w:tabs>
          <w:tab w:val="left" w:pos="6120"/>
          <w:tab w:val="left" w:pos="8820"/>
        </w:tabs>
        <w:jc w:val="center"/>
        <w:rPr>
          <w:rFonts w:ascii="黑体" w:eastAsia="黑体"/>
          <w:sz w:val="28"/>
        </w:rPr>
      </w:pPr>
      <w:r>
        <w:rPr>
          <w:sz w:val="28"/>
        </w:rPr>
        <mc:AlternateContent>
          <mc:Choice Requires="wps">
            <w:drawing>
              <wp:anchor distT="0" distB="0" distL="114300" distR="114300" simplePos="0" relativeHeight="251660288" behindDoc="0" locked="0" layoutInCell="1" allowOverlap="1">
                <wp:simplePos x="0" y="0"/>
                <wp:positionH relativeFrom="margin">
                  <wp:posOffset>-140970</wp:posOffset>
                </wp:positionH>
                <wp:positionV relativeFrom="page">
                  <wp:posOffset>9024620</wp:posOffset>
                </wp:positionV>
                <wp:extent cx="6120130" cy="1270"/>
                <wp:effectExtent l="6985" t="13970" r="6985" b="13335"/>
                <wp:wrapNone/>
                <wp:docPr id="1" name="任意多边形 1"/>
                <wp:cNvGraphicFramePr/>
                <a:graphic xmlns:a="http://schemas.openxmlformats.org/drawingml/2006/main">
                  <a:graphicData uri="http://schemas.microsoft.com/office/word/2010/wordprocessingShape">
                    <wps:wsp>
                      <wps:cNvSpPr/>
                      <wps:spPr bwMode="auto">
                        <a:xfrm>
                          <a:off x="0" y="0"/>
                          <a:ext cx="6120130" cy="1270"/>
                        </a:xfrm>
                        <a:custGeom>
                          <a:avLst/>
                          <a:gdLst>
                            <a:gd name="T0" fmla="*/ 0 w 9722"/>
                            <a:gd name="T1" fmla="*/ 0 h 2"/>
                            <a:gd name="T2" fmla="*/ 9722 w 9722"/>
                            <a:gd name="T3" fmla="*/ 2 h 2"/>
                          </a:gdLst>
                          <a:ahLst/>
                          <a:cxnLst>
                            <a:cxn ang="0">
                              <a:pos x="T0" y="T1"/>
                            </a:cxn>
                            <a:cxn ang="0">
                              <a:pos x="T2" y="T3"/>
                            </a:cxn>
                          </a:cxnLst>
                          <a:rect l="0" t="0" r="r" b="b"/>
                          <a:pathLst>
                            <a:path w="9722" h="2">
                              <a:moveTo>
                                <a:pt x="0" y="0"/>
                              </a:moveTo>
                              <a:lnTo>
                                <a:pt x="9722" y="2"/>
                              </a:lnTo>
                            </a:path>
                          </a:pathLst>
                        </a:custGeom>
                        <a:noFill/>
                        <a:ln w="9525" cap="flat" cmpd="sng">
                          <a:solidFill>
                            <a:srgbClr val="000000"/>
                          </a:solidFill>
                          <a:prstDash val="solid"/>
                          <a:round/>
                          <a:headEnd type="none" w="med" len="med"/>
                          <a:tailEnd type="none" w="med" len="med"/>
                        </a:ln>
                        <a:effectLst/>
                      </wps:spPr>
                      <wps:bodyPr rot="0" vert="horz" wrap="square" lIns="91440" tIns="45720" rIns="91440" bIns="45720" anchor="t" anchorCtr="0" upright="1">
                        <a:noAutofit/>
                      </wps:bodyPr>
                    </wps:wsp>
                  </a:graphicData>
                </a:graphic>
              </wp:anchor>
            </w:drawing>
          </mc:Choice>
          <mc:Fallback>
            <w:pict>
              <v:shape id="_x0000_s1026" o:spid="_x0000_s1026" o:spt="100" style="position:absolute;left:0pt;margin-left:-11.1pt;margin-top:710.6pt;height:0.1pt;width:481.9pt;mso-position-horizontal-relative:margin;mso-position-vertical-relative:page;z-index:251660288;mso-width-relative:page;mso-height-relative:page;" filled="f" stroked="t" coordsize="9722,2" o:gfxdata="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" path="m0,0l9722,2e">
                <v:path o:connectlocs="0,0;6120130,1270" o:connectangles="0,0"/>
                <v:fill on="f" focussize="0,0"/>
                <v:stroke color="#000000" joinstyle="round"/>
                <v:imagedata o:title=""/>
                <o:lock v:ext="edit" aspectratio="f"/>
              </v:shape>
            </w:pict>
          </mc:Fallback>
        </mc:AlternateContent>
      </w:r>
    </w:p>
    <w:p w14:paraId="4C1CDCF4">
      <w:pPr>
        <w:widowControl/>
        <w:spacing w:line="450" w:lineRule="atLeast"/>
        <w:jc w:val="center"/>
        <w:rPr>
          <w:rFonts w:ascii="黑体" w:eastAsia="黑体"/>
          <w:sz w:val="28"/>
        </w:rPr>
        <w:sectPr>
          <w:footerReference r:id="rId4" w:type="default"/>
          <w:headerReference r:id="rId3" w:type="even"/>
          <w:footerReference r:id="rId5" w:type="even"/>
          <w:pgSz w:w="11906" w:h="16838"/>
          <w:pgMar w:top="567" w:right="851" w:bottom="1418" w:left="1418" w:header="567" w:footer="992" w:gutter="0"/>
          <w:cols w:space="425" w:num="1"/>
          <w:docGrid w:linePitch="328" w:charSpace="-1363"/>
        </w:sectPr>
      </w:pPr>
      <w:r>
        <w:rPr>
          <w:rFonts w:hint="eastAsia"/>
          <w:b/>
          <w:sz w:val="40"/>
          <w:lang w:eastAsia="zh-CN"/>
        </w:rPr>
        <w:t>中国基本建设优化研究会</w:t>
      </w:r>
      <w:r>
        <w:rPr>
          <w:rFonts w:hint="eastAsia"/>
          <w:b/>
          <w:sz w:val="40"/>
        </w:rPr>
        <w:t xml:space="preserve">   </w:t>
      </w:r>
      <w:r>
        <w:rPr>
          <w:rFonts w:hint="eastAsia" w:ascii="宋体"/>
          <w:b/>
          <w:sz w:val="32"/>
        </w:rPr>
        <w:t>发布</w:t>
      </w:r>
      <w:r>
        <w:rPr>
          <w:rFonts w:hint="eastAsia"/>
          <w:sz w:val="40"/>
        </w:rPr>
        <w:t xml:space="preserve"> </w:t>
      </w:r>
      <w:r>
        <w:rPr>
          <w:sz w:val="40"/>
        </w:rPr>
        <w:t xml:space="preserve"> </w:t>
      </w:r>
      <w:r>
        <w:rPr>
          <w:rFonts w:hint="eastAsia" w:ascii="黑体" w:eastAsia="黑体"/>
          <w:sz w:val="52"/>
        </w:rPr>
        <w:t xml:space="preserve"> </w:t>
      </w:r>
      <w:r>
        <w:rPr>
          <w:rFonts w:hint="eastAsia" w:ascii="黑体" w:eastAsia="黑体"/>
          <w:sz w:val="28"/>
        </w:rPr>
        <w:t xml:space="preserve"> </w:t>
      </w:r>
    </w:p>
    <w:p w14:paraId="278B6BF4">
      <w:pPr>
        <w:widowControl/>
        <w:jc w:val="left"/>
        <w:rPr>
          <w:rFonts w:ascii="黑体" w:hAnsi="黑体" w:eastAsia="黑体"/>
          <w:b/>
        </w:rPr>
      </w:pPr>
    </w:p>
    <w:p w14:paraId="6F2AA88C">
      <w:pPr>
        <w:pStyle w:val="28"/>
        <w:jc w:val="center"/>
        <w:rPr>
          <w:rFonts w:ascii="黑体" w:hAnsi="黑体" w:eastAsia="黑体"/>
          <w:color w:val="auto"/>
          <w:shd w:val="pct10" w:color="auto" w:fill="FFFFFF"/>
        </w:rPr>
      </w:pPr>
      <w:r>
        <w:rPr>
          <w:rFonts w:ascii="黑体" w:hAnsi="黑体" w:eastAsia="黑体"/>
          <w:color w:val="auto"/>
          <w:shd w:val="pct10" w:color="auto" w:fill="FFFFFF"/>
          <w:lang w:val="zh-CN"/>
        </w:rPr>
        <w:t>目</w:t>
      </w:r>
      <w:r>
        <w:rPr>
          <w:rFonts w:hint="eastAsia" w:ascii="黑体" w:hAnsi="黑体" w:eastAsia="黑体"/>
          <w:color w:val="auto"/>
          <w:shd w:val="pct10" w:color="auto" w:fill="FFFFFF"/>
          <w:lang w:val="zh-CN"/>
        </w:rPr>
        <w:t xml:space="preserve"> </w:t>
      </w:r>
      <w:r>
        <w:rPr>
          <w:rFonts w:ascii="黑体" w:hAnsi="黑体" w:eastAsia="黑体"/>
          <w:color w:val="auto"/>
          <w:shd w:val="pct10" w:color="auto" w:fill="FFFFFF"/>
          <w:lang w:val="zh-CN"/>
        </w:rPr>
        <w:t xml:space="preserve"> 次</w:t>
      </w:r>
    </w:p>
    <w:p w14:paraId="0E1A819C">
      <w:pPr>
        <w:pStyle w:val="8"/>
        <w:tabs>
          <w:tab w:val="right" w:leader="dot" w:pos="8296"/>
        </w:tabs>
      </w:pPr>
      <w:r>
        <w:rPr>
          <w:b/>
          <w:bCs/>
          <w:lang w:val="zh-CN"/>
        </w:rPr>
        <w:fldChar w:fldCharType="begin"/>
      </w:r>
      <w:r>
        <w:rPr>
          <w:b/>
          <w:bCs/>
          <w:lang w:val="zh-CN"/>
        </w:rPr>
        <w:instrText xml:space="preserve"> TOC \o "1-3" \h \z \u </w:instrText>
      </w:r>
      <w:r>
        <w:rPr>
          <w:b/>
          <w:bCs/>
          <w:lang w:val="zh-CN"/>
        </w:rPr>
        <w:fldChar w:fldCharType="separate"/>
      </w:r>
      <w:r>
        <w:fldChar w:fldCharType="begin"/>
      </w:r>
      <w:r>
        <w:instrText xml:space="preserve"> HYPERLINK \l "_Toc190507476" </w:instrText>
      </w:r>
      <w:r>
        <w:fldChar w:fldCharType="separate"/>
      </w:r>
      <w:r>
        <w:rPr>
          <w:rStyle w:val="15"/>
          <w:rFonts w:hint="eastAsia" w:ascii="黑体" w:hAnsi="黑体" w:eastAsia="黑体"/>
        </w:rPr>
        <w:t>灌区生态灌渠建设</w:t>
      </w:r>
      <w:r>
        <w:rPr>
          <w:rStyle w:val="15"/>
          <w:rFonts w:hint="eastAsia" w:ascii="黑体" w:hAnsi="黑体" w:eastAsia="黑体"/>
          <w:lang w:eastAsia="zh-CN"/>
        </w:rPr>
        <w:t>规范</w:t>
      </w:r>
      <w:r>
        <w:tab/>
      </w:r>
      <w:r>
        <w:fldChar w:fldCharType="begin"/>
      </w:r>
      <w:r>
        <w:instrText xml:space="preserve"> PAGEREF _Toc190507476 \h </w:instrText>
      </w:r>
      <w:r>
        <w:fldChar w:fldCharType="separate"/>
      </w:r>
      <w:r>
        <w:t>1</w:t>
      </w:r>
      <w:r>
        <w:fldChar w:fldCharType="end"/>
      </w:r>
      <w:r>
        <w:fldChar w:fldCharType="end"/>
      </w:r>
    </w:p>
    <w:p w14:paraId="4F4061E8">
      <w:pPr>
        <w:pStyle w:val="8"/>
        <w:tabs>
          <w:tab w:val="right" w:leader="dot" w:pos="8296"/>
        </w:tabs>
      </w:pPr>
      <w:r>
        <w:fldChar w:fldCharType="begin"/>
      </w:r>
      <w:r>
        <w:instrText xml:space="preserve"> HYPERLINK \l "_Toc190507477" </w:instrText>
      </w:r>
      <w:r>
        <w:fldChar w:fldCharType="separate"/>
      </w:r>
      <w:r>
        <w:rPr>
          <w:rStyle w:val="15"/>
          <w:rFonts w:ascii="黑体" w:hAnsi="黑体" w:eastAsia="黑体"/>
        </w:rPr>
        <w:t xml:space="preserve">1 </w:t>
      </w:r>
      <w:r>
        <w:rPr>
          <w:rStyle w:val="15"/>
          <w:rFonts w:hint="eastAsia" w:ascii="黑体" w:hAnsi="黑体" w:eastAsia="黑体"/>
        </w:rPr>
        <w:t>范围</w:t>
      </w:r>
      <w:r>
        <w:tab/>
      </w:r>
      <w:r>
        <w:fldChar w:fldCharType="begin"/>
      </w:r>
      <w:r>
        <w:instrText xml:space="preserve"> PAGEREF _Toc190507477 \h </w:instrText>
      </w:r>
      <w:r>
        <w:fldChar w:fldCharType="separate"/>
      </w:r>
      <w:r>
        <w:t>1</w:t>
      </w:r>
      <w:r>
        <w:fldChar w:fldCharType="end"/>
      </w:r>
      <w:r>
        <w:fldChar w:fldCharType="end"/>
      </w:r>
    </w:p>
    <w:p w14:paraId="3C2C259C">
      <w:pPr>
        <w:pStyle w:val="8"/>
        <w:tabs>
          <w:tab w:val="right" w:leader="dot" w:pos="8296"/>
        </w:tabs>
      </w:pPr>
      <w:r>
        <w:fldChar w:fldCharType="begin"/>
      </w:r>
      <w:r>
        <w:instrText xml:space="preserve"> HYPERLINK \l "_Toc190507478" </w:instrText>
      </w:r>
      <w:r>
        <w:fldChar w:fldCharType="separate"/>
      </w:r>
      <w:r>
        <w:rPr>
          <w:rStyle w:val="15"/>
          <w:rFonts w:ascii="黑体" w:hAnsi="黑体" w:eastAsia="黑体"/>
        </w:rPr>
        <w:t xml:space="preserve">2 </w:t>
      </w:r>
      <w:r>
        <w:rPr>
          <w:rStyle w:val="15"/>
          <w:rFonts w:hint="eastAsia" w:ascii="黑体" w:hAnsi="黑体" w:eastAsia="黑体"/>
        </w:rPr>
        <w:t>规范性引用文件</w:t>
      </w:r>
      <w:r>
        <w:tab/>
      </w:r>
      <w:r>
        <w:fldChar w:fldCharType="begin"/>
      </w:r>
      <w:r>
        <w:instrText xml:space="preserve"> PAGEREF _Toc190507478 \h </w:instrText>
      </w:r>
      <w:r>
        <w:fldChar w:fldCharType="separate"/>
      </w:r>
      <w:r>
        <w:t>1</w:t>
      </w:r>
      <w:r>
        <w:fldChar w:fldCharType="end"/>
      </w:r>
      <w:r>
        <w:fldChar w:fldCharType="end"/>
      </w:r>
    </w:p>
    <w:p w14:paraId="5C11C2A9">
      <w:pPr>
        <w:pStyle w:val="8"/>
        <w:tabs>
          <w:tab w:val="right" w:leader="dot" w:pos="8296"/>
        </w:tabs>
      </w:pPr>
      <w:r>
        <w:fldChar w:fldCharType="begin"/>
      </w:r>
      <w:r>
        <w:instrText xml:space="preserve"> HYPERLINK \l "_Toc190507479" </w:instrText>
      </w:r>
      <w:r>
        <w:fldChar w:fldCharType="separate"/>
      </w:r>
      <w:r>
        <w:rPr>
          <w:rStyle w:val="15"/>
          <w:rFonts w:ascii="黑体" w:hAnsi="黑体" w:eastAsia="黑体"/>
        </w:rPr>
        <w:t xml:space="preserve">3 </w:t>
      </w:r>
      <w:r>
        <w:rPr>
          <w:rStyle w:val="15"/>
          <w:rFonts w:hint="eastAsia" w:ascii="黑体" w:hAnsi="黑体" w:eastAsia="黑体"/>
        </w:rPr>
        <w:t>术语和定义</w:t>
      </w:r>
      <w:r>
        <w:tab/>
      </w:r>
      <w:r>
        <w:fldChar w:fldCharType="begin"/>
      </w:r>
      <w:r>
        <w:instrText xml:space="preserve"> PAGEREF _Toc190507479 \h </w:instrText>
      </w:r>
      <w:r>
        <w:fldChar w:fldCharType="separate"/>
      </w:r>
      <w:r>
        <w:t>1</w:t>
      </w:r>
      <w:r>
        <w:fldChar w:fldCharType="end"/>
      </w:r>
      <w:r>
        <w:fldChar w:fldCharType="end"/>
      </w:r>
    </w:p>
    <w:p w14:paraId="146116CF">
      <w:pPr>
        <w:pStyle w:val="8"/>
        <w:tabs>
          <w:tab w:val="right" w:leader="dot" w:pos="8296"/>
        </w:tabs>
      </w:pPr>
      <w:r>
        <w:fldChar w:fldCharType="begin"/>
      </w:r>
      <w:r>
        <w:instrText xml:space="preserve"> HYPERLINK \l "_Toc190507480" </w:instrText>
      </w:r>
      <w:r>
        <w:fldChar w:fldCharType="separate"/>
      </w:r>
      <w:r>
        <w:rPr>
          <w:rStyle w:val="15"/>
          <w:rFonts w:ascii="黑体" w:hAnsi="黑体" w:eastAsia="黑体"/>
        </w:rPr>
        <w:t xml:space="preserve">4 </w:t>
      </w:r>
      <w:r>
        <w:rPr>
          <w:rStyle w:val="15"/>
          <w:rFonts w:hint="eastAsia" w:ascii="黑体" w:hAnsi="黑体" w:eastAsia="黑体"/>
        </w:rPr>
        <w:t>基本原则</w:t>
      </w:r>
      <w:r>
        <w:tab/>
      </w:r>
      <w:r>
        <w:fldChar w:fldCharType="begin"/>
      </w:r>
      <w:r>
        <w:instrText xml:space="preserve"> PAGEREF _Toc190507480 \h </w:instrText>
      </w:r>
      <w:r>
        <w:fldChar w:fldCharType="separate"/>
      </w:r>
      <w:r>
        <w:t>1</w:t>
      </w:r>
      <w:r>
        <w:fldChar w:fldCharType="end"/>
      </w:r>
      <w:r>
        <w:fldChar w:fldCharType="end"/>
      </w:r>
    </w:p>
    <w:p w14:paraId="6D63EA1F">
      <w:pPr>
        <w:pStyle w:val="8"/>
        <w:tabs>
          <w:tab w:val="right" w:leader="dot" w:pos="8296"/>
        </w:tabs>
      </w:pPr>
      <w:r>
        <w:fldChar w:fldCharType="begin"/>
      </w:r>
      <w:r>
        <w:instrText xml:space="preserve"> HYPERLINK \l "_Toc190507481" </w:instrText>
      </w:r>
      <w:r>
        <w:fldChar w:fldCharType="separate"/>
      </w:r>
      <w:r>
        <w:rPr>
          <w:rStyle w:val="15"/>
          <w:rFonts w:ascii="黑体" w:hAnsi="黑体" w:eastAsia="黑体"/>
        </w:rPr>
        <w:t xml:space="preserve">5 </w:t>
      </w:r>
      <w:r>
        <w:rPr>
          <w:rStyle w:val="15"/>
          <w:rFonts w:hint="eastAsia" w:ascii="黑体" w:hAnsi="黑体" w:eastAsia="黑体"/>
        </w:rPr>
        <w:t>生态灌渠设计</w:t>
      </w:r>
      <w:r>
        <w:tab/>
      </w:r>
      <w:r>
        <w:fldChar w:fldCharType="begin"/>
      </w:r>
      <w:r>
        <w:instrText xml:space="preserve"> PAGEREF _Toc190507481 \h </w:instrText>
      </w:r>
      <w:r>
        <w:fldChar w:fldCharType="separate"/>
      </w:r>
      <w:r>
        <w:t>2</w:t>
      </w:r>
      <w:r>
        <w:fldChar w:fldCharType="end"/>
      </w:r>
      <w:r>
        <w:fldChar w:fldCharType="end"/>
      </w:r>
    </w:p>
    <w:p w14:paraId="0487FF32">
      <w:pPr>
        <w:pStyle w:val="8"/>
        <w:tabs>
          <w:tab w:val="right" w:leader="dot" w:pos="8296"/>
        </w:tabs>
      </w:pPr>
      <w:r>
        <w:fldChar w:fldCharType="begin"/>
      </w:r>
      <w:r>
        <w:instrText xml:space="preserve"> HYPERLINK \l "_Toc190507490" </w:instrText>
      </w:r>
      <w:r>
        <w:fldChar w:fldCharType="separate"/>
      </w:r>
      <w:r>
        <w:rPr>
          <w:rStyle w:val="15"/>
          <w:rFonts w:ascii="黑体" w:hAnsi="黑体" w:eastAsia="黑体"/>
        </w:rPr>
        <w:t>6</w:t>
      </w:r>
      <w:r>
        <w:rPr>
          <w:rStyle w:val="15"/>
          <w:rFonts w:hint="eastAsia" w:ascii="黑体" w:hAnsi="黑体" w:eastAsia="黑体"/>
        </w:rPr>
        <w:t>养护维护</w:t>
      </w:r>
      <w:r>
        <w:tab/>
      </w:r>
      <w:r>
        <w:fldChar w:fldCharType="begin"/>
      </w:r>
      <w:r>
        <w:instrText xml:space="preserve"> PAGEREF _Toc190507490 \h </w:instrText>
      </w:r>
      <w:r>
        <w:fldChar w:fldCharType="separate"/>
      </w:r>
      <w:r>
        <w:t>3</w:t>
      </w:r>
      <w:r>
        <w:fldChar w:fldCharType="end"/>
      </w:r>
      <w:r>
        <w:fldChar w:fldCharType="end"/>
      </w:r>
    </w:p>
    <w:p w14:paraId="2CFBB513">
      <w:pPr>
        <w:pStyle w:val="8"/>
        <w:tabs>
          <w:tab w:val="right" w:leader="dot" w:pos="8296"/>
        </w:tabs>
      </w:pPr>
      <w:r>
        <w:fldChar w:fldCharType="begin"/>
      </w:r>
      <w:r>
        <w:instrText xml:space="preserve"> HYPERLINK \l "_Toc190507491" </w:instrText>
      </w:r>
      <w:r>
        <w:fldChar w:fldCharType="separate"/>
      </w:r>
      <w:r>
        <w:rPr>
          <w:rStyle w:val="15"/>
          <w:rFonts w:hint="eastAsia" w:ascii="黑体" w:hAnsi="黑体" w:eastAsia="黑体"/>
          <w:spacing w:val="132"/>
        </w:rPr>
        <w:t>参考文献</w:t>
      </w:r>
      <w:r>
        <w:tab/>
      </w:r>
      <w:r>
        <w:fldChar w:fldCharType="begin"/>
      </w:r>
      <w:r>
        <w:instrText xml:space="preserve"> PAGEREF _Toc190507491 \h </w:instrText>
      </w:r>
      <w:r>
        <w:fldChar w:fldCharType="separate"/>
      </w:r>
      <w:r>
        <w:t>4</w:t>
      </w:r>
      <w:r>
        <w:fldChar w:fldCharType="end"/>
      </w:r>
      <w:r>
        <w:fldChar w:fldCharType="end"/>
      </w:r>
    </w:p>
    <w:p w14:paraId="5A7303F8">
      <w:pPr>
        <w:widowControl/>
        <w:jc w:val="left"/>
        <w:rPr>
          <w:b/>
          <w:bCs/>
          <w:lang w:val="zh-CN"/>
        </w:rPr>
      </w:pPr>
      <w:r>
        <w:rPr>
          <w:b/>
          <w:bCs/>
          <w:lang w:val="zh-CN"/>
        </w:rPr>
        <w:fldChar w:fldCharType="end"/>
      </w:r>
      <w:bookmarkStart w:id="0" w:name="_Toc156912009"/>
    </w:p>
    <w:p w14:paraId="5A3C2639">
      <w:pPr>
        <w:widowControl/>
        <w:jc w:val="left"/>
        <w:rPr>
          <w:b/>
          <w:bCs/>
          <w:lang w:val="zh-CN"/>
        </w:rPr>
      </w:pPr>
      <w:r>
        <w:rPr>
          <w:b/>
          <w:bCs/>
          <w:lang w:val="zh-CN"/>
        </w:rPr>
        <w:br w:type="page"/>
      </w:r>
    </w:p>
    <w:p w14:paraId="757F6F47">
      <w:pPr>
        <w:widowControl/>
        <w:jc w:val="center"/>
        <w:rPr>
          <w:rFonts w:ascii="黑体" w:eastAsia="黑体"/>
          <w:kern w:val="0"/>
          <w:sz w:val="32"/>
        </w:rPr>
      </w:pPr>
      <w:r>
        <w:rPr>
          <w:rFonts w:hint="eastAsia" w:ascii="黑体" w:eastAsia="黑体"/>
          <w:kern w:val="0"/>
          <w:sz w:val="32"/>
        </w:rPr>
        <w:t>前</w:t>
      </w:r>
      <w:bookmarkStart w:id="1" w:name="BKQY"/>
      <w:r>
        <w:rPr>
          <w:rFonts w:ascii="黑体" w:hAnsi="黑体" w:eastAsia="黑体"/>
          <w:kern w:val="0"/>
          <w:sz w:val="32"/>
        </w:rPr>
        <w:t>  </w:t>
      </w:r>
      <w:r>
        <w:rPr>
          <w:rFonts w:hint="eastAsia" w:ascii="黑体" w:eastAsia="黑体"/>
          <w:kern w:val="0"/>
          <w:sz w:val="32"/>
        </w:rPr>
        <w:t>言</w:t>
      </w:r>
      <w:bookmarkEnd w:id="0"/>
      <w:bookmarkEnd w:id="1"/>
    </w:p>
    <w:p w14:paraId="302A23DD">
      <w:pPr>
        <w:widowControl/>
        <w:tabs>
          <w:tab w:val="center" w:pos="4201"/>
          <w:tab w:val="right" w:leader="dot" w:pos="9298"/>
        </w:tabs>
        <w:autoSpaceDE w:val="0"/>
        <w:autoSpaceDN w:val="0"/>
        <w:ind w:firstLine="420" w:firstLineChars="200"/>
        <w:rPr>
          <w:rFonts w:ascii="宋体"/>
          <w:kern w:val="0"/>
        </w:rPr>
      </w:pPr>
      <w:r>
        <w:rPr>
          <w:rFonts w:hint="eastAsia" w:ascii="宋体"/>
          <w:kern w:val="0"/>
        </w:rPr>
        <w:t>本文件按照GB/T 1.1</w:t>
      </w:r>
      <w:r>
        <w:rPr>
          <w:rFonts w:hint="eastAsia" w:ascii="宋体" w:hAnsi="宋体"/>
          <w:kern w:val="0"/>
        </w:rPr>
        <w:t>－</w:t>
      </w:r>
      <w:r>
        <w:rPr>
          <w:rFonts w:hint="eastAsia" w:ascii="宋体"/>
          <w:kern w:val="0"/>
        </w:rPr>
        <w:t>20</w:t>
      </w:r>
      <w:r>
        <w:rPr>
          <w:rFonts w:ascii="宋体"/>
          <w:kern w:val="0"/>
        </w:rPr>
        <w:t>20</w:t>
      </w:r>
      <w:r>
        <w:rPr>
          <w:rFonts w:hint="eastAsia" w:ascii="宋体"/>
          <w:kern w:val="0"/>
        </w:rPr>
        <w:t>《标准化工作导则 第1部分:标准化文件的结构和起草规则》的规定起草。</w:t>
      </w:r>
    </w:p>
    <w:p w14:paraId="5748E9F7">
      <w:pPr>
        <w:widowControl/>
        <w:tabs>
          <w:tab w:val="center" w:pos="4201"/>
          <w:tab w:val="right" w:leader="dot" w:pos="9298"/>
        </w:tabs>
        <w:autoSpaceDE w:val="0"/>
        <w:autoSpaceDN w:val="0"/>
        <w:ind w:firstLine="420" w:firstLineChars="200"/>
        <w:rPr>
          <w:rFonts w:ascii="宋体"/>
          <w:kern w:val="0"/>
        </w:rPr>
      </w:pPr>
    </w:p>
    <w:p w14:paraId="5BC87017">
      <w:pPr>
        <w:widowControl/>
        <w:tabs>
          <w:tab w:val="center" w:pos="4201"/>
          <w:tab w:val="right" w:leader="dot" w:pos="9298"/>
        </w:tabs>
        <w:autoSpaceDE w:val="0"/>
        <w:autoSpaceDN w:val="0"/>
        <w:ind w:firstLine="420" w:firstLineChars="200"/>
        <w:rPr>
          <w:rFonts w:ascii="宋体"/>
          <w:kern w:val="0"/>
        </w:rPr>
      </w:pPr>
      <w:r>
        <w:rPr>
          <w:rFonts w:hint="eastAsia" w:ascii="宋体"/>
          <w:kern w:val="0"/>
        </w:rPr>
        <w:t>本文件由</w:t>
      </w:r>
      <w:r>
        <w:rPr>
          <w:rFonts w:hint="eastAsia" w:ascii="宋体"/>
          <w:kern w:val="0"/>
          <w:lang w:eastAsia="zh-CN"/>
        </w:rPr>
        <w:t>中国基本建设优化研究会</w:t>
      </w:r>
      <w:r>
        <w:rPr>
          <w:rFonts w:hint="eastAsia" w:ascii="宋体"/>
          <w:kern w:val="0"/>
        </w:rPr>
        <w:t>提出并归口。</w:t>
      </w:r>
    </w:p>
    <w:p w14:paraId="34BED82A">
      <w:pPr>
        <w:widowControl/>
        <w:tabs>
          <w:tab w:val="center" w:pos="4201"/>
          <w:tab w:val="right" w:leader="dot" w:pos="9298"/>
        </w:tabs>
        <w:autoSpaceDE w:val="0"/>
        <w:autoSpaceDN w:val="0"/>
        <w:ind w:firstLine="420" w:firstLineChars="200"/>
        <w:rPr>
          <w:szCs w:val="21"/>
        </w:rPr>
      </w:pPr>
      <w:r>
        <w:rPr>
          <w:rFonts w:hint="eastAsia" w:ascii="宋体"/>
          <w:kern w:val="0"/>
        </w:rPr>
        <w:t>本文件起草单位：</w:t>
      </w:r>
      <w:r>
        <w:rPr>
          <w:szCs w:val="21"/>
        </w:rPr>
        <w:t xml:space="preserve"> </w:t>
      </w:r>
    </w:p>
    <w:p w14:paraId="62B7CA61">
      <w:pPr>
        <w:widowControl/>
        <w:tabs>
          <w:tab w:val="center" w:pos="4201"/>
          <w:tab w:val="right" w:leader="dot" w:pos="9298"/>
        </w:tabs>
        <w:autoSpaceDE w:val="0"/>
        <w:autoSpaceDN w:val="0"/>
        <w:ind w:firstLine="420" w:firstLineChars="200"/>
        <w:rPr>
          <w:rFonts w:ascii="宋体"/>
          <w:kern w:val="0"/>
        </w:rPr>
      </w:pPr>
      <w:r>
        <w:rPr>
          <w:rFonts w:hint="eastAsia" w:ascii="宋体"/>
          <w:kern w:val="0"/>
        </w:rPr>
        <w:t>本文件主要起草人:</w:t>
      </w:r>
    </w:p>
    <w:p w14:paraId="71D0C5A9">
      <w:pPr>
        <w:widowControl/>
        <w:jc w:val="left"/>
        <w:rPr>
          <w:rFonts w:ascii="黑体" w:hAnsi="黑体" w:eastAsia="黑体"/>
          <w:b/>
        </w:rPr>
      </w:pPr>
    </w:p>
    <w:p w14:paraId="61CCB306">
      <w:pPr>
        <w:widowControl/>
        <w:jc w:val="left"/>
        <w:rPr>
          <w:rFonts w:ascii="黑体" w:hAnsi="黑体" w:eastAsia="黑体" w:cstheme="majorBidi"/>
          <w:bCs/>
          <w:sz w:val="32"/>
          <w:szCs w:val="32"/>
        </w:rPr>
      </w:pPr>
    </w:p>
    <w:p w14:paraId="1F15A7FF">
      <w:pPr>
        <w:pStyle w:val="10"/>
        <w:rPr>
          <w:rFonts w:ascii="黑体" w:hAnsi="黑体" w:eastAsia="黑体"/>
          <w:b w:val="0"/>
        </w:rPr>
        <w:sectPr>
          <w:footerReference r:id="rId6" w:type="default"/>
          <w:footerReference r:id="rId7" w:type="even"/>
          <w:pgSz w:w="11906" w:h="16838"/>
          <w:pgMar w:top="1440" w:right="1800" w:bottom="1440" w:left="1800" w:header="851" w:footer="992" w:gutter="0"/>
          <w:pgNumType w:fmt="upperRoman"/>
          <w:cols w:space="425" w:num="1"/>
          <w:docGrid w:type="lines" w:linePitch="312" w:charSpace="0"/>
        </w:sectPr>
      </w:pPr>
    </w:p>
    <w:p w14:paraId="6C6DDEC0">
      <w:pPr>
        <w:pStyle w:val="10"/>
        <w:rPr>
          <w:rFonts w:hint="eastAsia" w:ascii="黑体" w:hAnsi="黑体" w:eastAsia="黑体"/>
          <w:b w:val="0"/>
          <w:lang w:eastAsia="zh-CN"/>
        </w:rPr>
      </w:pPr>
      <w:bookmarkStart w:id="2" w:name="_Toc190507476"/>
      <w:r>
        <w:rPr>
          <w:rFonts w:hint="eastAsia" w:ascii="黑体" w:hAnsi="黑体" w:eastAsia="黑体"/>
          <w:b w:val="0"/>
        </w:rPr>
        <w:t>灌区生态</w:t>
      </w:r>
      <w:r>
        <w:rPr>
          <w:rFonts w:ascii="黑体" w:hAnsi="黑体" w:eastAsia="黑体"/>
          <w:b w:val="0"/>
        </w:rPr>
        <w:t>灌渠</w:t>
      </w:r>
      <w:r>
        <w:rPr>
          <w:rFonts w:hint="eastAsia" w:ascii="黑体" w:hAnsi="黑体" w:eastAsia="黑体"/>
          <w:b w:val="0"/>
        </w:rPr>
        <w:t>建设</w:t>
      </w:r>
      <w:bookmarkEnd w:id="2"/>
      <w:r>
        <w:rPr>
          <w:rFonts w:hint="eastAsia" w:ascii="黑体" w:hAnsi="黑体" w:eastAsia="黑体"/>
          <w:b w:val="0"/>
          <w:lang w:eastAsia="zh-CN"/>
        </w:rPr>
        <w:t>规范</w:t>
      </w:r>
    </w:p>
    <w:p w14:paraId="5F59F4DC">
      <w:pPr>
        <w:pStyle w:val="2"/>
        <w:spacing w:before="156" w:beforeLines="50" w:after="156" w:afterLines="50" w:line="240" w:lineRule="auto"/>
        <w:rPr>
          <w:rFonts w:ascii="黑体" w:hAnsi="黑体" w:eastAsia="黑体"/>
          <w:b w:val="0"/>
          <w:sz w:val="28"/>
          <w:szCs w:val="28"/>
        </w:rPr>
      </w:pPr>
      <w:bookmarkStart w:id="3" w:name="_Toc190507477"/>
      <w:r>
        <w:rPr>
          <w:rFonts w:ascii="黑体" w:hAnsi="黑体" w:eastAsia="黑体"/>
          <w:b w:val="0"/>
          <w:sz w:val="28"/>
          <w:szCs w:val="28"/>
        </w:rPr>
        <w:t xml:space="preserve">1 </w:t>
      </w:r>
      <w:r>
        <w:rPr>
          <w:rFonts w:hint="eastAsia" w:ascii="黑体" w:hAnsi="黑体" w:eastAsia="黑体"/>
          <w:b w:val="0"/>
          <w:sz w:val="28"/>
          <w:szCs w:val="28"/>
        </w:rPr>
        <w:t>范围</w:t>
      </w:r>
      <w:bookmarkEnd w:id="3"/>
    </w:p>
    <w:p w14:paraId="44096851">
      <w:pPr>
        <w:ind w:firstLine="420" w:firstLineChars="200"/>
        <w:rPr>
          <w:rFonts w:ascii="宋体" w:hAnsi="宋体" w:eastAsia="宋体"/>
        </w:rPr>
      </w:pPr>
      <w:r>
        <w:rPr>
          <w:rFonts w:hint="eastAsia" w:ascii="宋体" w:hAnsi="宋体" w:eastAsia="宋体"/>
        </w:rPr>
        <w:t>本文件提出了灌区</w:t>
      </w:r>
      <w:r>
        <w:rPr>
          <w:rFonts w:ascii="宋体" w:hAnsi="宋体" w:eastAsia="宋体"/>
        </w:rPr>
        <w:t>生态灌渠</w:t>
      </w:r>
      <w:r>
        <w:rPr>
          <w:rFonts w:hint="eastAsia" w:ascii="宋体" w:hAnsi="宋体" w:eastAsia="宋体"/>
        </w:rPr>
        <w:t>建设的基本</w:t>
      </w:r>
      <w:r>
        <w:rPr>
          <w:rFonts w:ascii="宋体" w:hAnsi="宋体" w:eastAsia="宋体"/>
        </w:rPr>
        <w:t>原则</w:t>
      </w:r>
      <w:r>
        <w:rPr>
          <w:rFonts w:hint="eastAsia" w:ascii="宋体" w:hAnsi="宋体" w:eastAsia="宋体"/>
        </w:rPr>
        <w:t>、生态灌区设计、养护维护等要求。</w:t>
      </w:r>
    </w:p>
    <w:p w14:paraId="2946F72D">
      <w:pPr>
        <w:ind w:firstLine="420" w:firstLineChars="200"/>
        <w:rPr>
          <w:rFonts w:ascii="宋体" w:hAnsi="宋体" w:eastAsia="宋体"/>
        </w:rPr>
      </w:pPr>
      <w:r>
        <w:rPr>
          <w:rFonts w:hint="eastAsia" w:ascii="宋体" w:hAnsi="宋体" w:eastAsia="宋体"/>
        </w:rPr>
        <w:t>本文件适用于</w:t>
      </w:r>
      <w:r>
        <w:rPr>
          <w:rFonts w:ascii="宋体" w:hAnsi="宋体" w:eastAsia="宋体"/>
        </w:rPr>
        <w:t>灌区支渠及以下渠道</w:t>
      </w:r>
      <w:r>
        <w:rPr>
          <w:rFonts w:hint="eastAsia" w:ascii="宋体" w:hAnsi="宋体" w:eastAsia="宋体"/>
        </w:rPr>
        <w:t>生态化建设工作。</w:t>
      </w:r>
    </w:p>
    <w:p w14:paraId="506EA293">
      <w:pPr>
        <w:pStyle w:val="2"/>
        <w:spacing w:before="156" w:beforeLines="50" w:after="156" w:afterLines="50" w:line="240" w:lineRule="auto"/>
        <w:rPr>
          <w:rFonts w:ascii="黑体" w:hAnsi="黑体" w:eastAsia="黑体"/>
          <w:b w:val="0"/>
          <w:sz w:val="28"/>
          <w:szCs w:val="28"/>
        </w:rPr>
      </w:pPr>
      <w:bookmarkStart w:id="4" w:name="_Toc190507478"/>
      <w:r>
        <w:rPr>
          <w:rFonts w:ascii="黑体" w:hAnsi="黑体" w:eastAsia="黑体"/>
          <w:b w:val="0"/>
          <w:sz w:val="28"/>
          <w:szCs w:val="28"/>
        </w:rPr>
        <w:t>2 规范性引用文件</w:t>
      </w:r>
      <w:bookmarkEnd w:id="4"/>
    </w:p>
    <w:p w14:paraId="77CD9BC5">
      <w:pPr>
        <w:ind w:firstLine="420" w:firstLineChars="200"/>
        <w:rPr>
          <w:rFonts w:ascii="宋体" w:hAnsi="宋体" w:eastAsia="宋体"/>
        </w:rPr>
      </w:pPr>
      <w:r>
        <w:rPr>
          <w:rFonts w:hint="eastAsia" w:ascii="宋体" w:hAnsi="宋体" w:eastAsia="宋体"/>
        </w:rPr>
        <w:t>下列文件中的内容通过文中的规范性引用而构成本文件必不可少的条款。其中</w:t>
      </w:r>
      <w:r>
        <w:rPr>
          <w:rFonts w:ascii="宋体" w:hAnsi="宋体" w:eastAsia="宋体"/>
        </w:rPr>
        <w:t>,注日期的引用文件仅该日期对应的版本适用于本文件，不注日期的引用文件，其最新版本(包括所有的修改单)适用于本文件。</w:t>
      </w:r>
    </w:p>
    <w:p w14:paraId="45CF9443">
      <w:pPr>
        <w:ind w:firstLine="420" w:firstLineChars="200"/>
        <w:rPr>
          <w:rFonts w:ascii="宋体" w:hAnsi="宋体" w:eastAsia="宋体"/>
        </w:rPr>
      </w:pPr>
      <w:r>
        <w:rPr>
          <w:rFonts w:ascii="宋体" w:hAnsi="宋体" w:eastAsia="宋体"/>
        </w:rPr>
        <w:t>GB/T 30600  高标准农田建设通则</w:t>
      </w:r>
    </w:p>
    <w:p w14:paraId="73A2A86D">
      <w:pPr>
        <w:ind w:firstLine="420" w:firstLineChars="200"/>
        <w:rPr>
          <w:rFonts w:ascii="宋体" w:hAnsi="宋体" w:eastAsia="宋体"/>
        </w:rPr>
      </w:pPr>
      <w:r>
        <w:rPr>
          <w:rFonts w:ascii="宋体" w:hAnsi="宋体" w:eastAsia="宋体"/>
        </w:rPr>
        <w:t>GB 50288  灌溉与排水工程设计标准</w:t>
      </w:r>
    </w:p>
    <w:p w14:paraId="1AFB4C5F">
      <w:pPr>
        <w:ind w:firstLine="420" w:firstLineChars="200"/>
        <w:rPr>
          <w:rFonts w:ascii="宋体" w:hAnsi="宋体" w:eastAsia="宋体"/>
        </w:rPr>
      </w:pPr>
      <w:r>
        <w:rPr>
          <w:rFonts w:ascii="宋体" w:hAnsi="宋体" w:eastAsia="宋体"/>
        </w:rPr>
        <w:t xml:space="preserve">SL/T 246  </w:t>
      </w:r>
      <w:r>
        <w:rPr>
          <w:rFonts w:hint="eastAsia" w:ascii="宋体" w:hAnsi="宋体" w:eastAsia="宋体"/>
        </w:rPr>
        <w:t>灌溉与排水工程技术管理规程</w:t>
      </w:r>
    </w:p>
    <w:p w14:paraId="681E8D46">
      <w:pPr>
        <w:ind w:firstLine="420" w:firstLineChars="200"/>
        <w:rPr>
          <w:rFonts w:ascii="宋体" w:hAnsi="宋体" w:eastAsia="宋体"/>
        </w:rPr>
      </w:pPr>
      <w:r>
        <w:rPr>
          <w:rFonts w:ascii="宋体" w:hAnsi="宋体" w:eastAsia="宋体"/>
        </w:rPr>
        <w:t>SL/T 269  水利水电工程沉沙池设计规范</w:t>
      </w:r>
    </w:p>
    <w:p w14:paraId="02680C5B">
      <w:pPr>
        <w:ind w:firstLine="420" w:firstLineChars="200"/>
        <w:rPr>
          <w:rFonts w:ascii="宋体" w:hAnsi="宋体" w:eastAsia="宋体"/>
        </w:rPr>
      </w:pPr>
      <w:r>
        <w:rPr>
          <w:rFonts w:ascii="宋体" w:hAnsi="宋体" w:eastAsia="宋体"/>
        </w:rPr>
        <w:t>SL 482  灌溉与排水渠系建筑物设计规范</w:t>
      </w:r>
    </w:p>
    <w:p w14:paraId="176FDC8A">
      <w:pPr>
        <w:pStyle w:val="2"/>
        <w:spacing w:before="156" w:beforeLines="50" w:after="156" w:afterLines="50" w:line="240" w:lineRule="auto"/>
        <w:rPr>
          <w:rFonts w:ascii="黑体" w:hAnsi="黑体" w:eastAsia="黑体"/>
          <w:b w:val="0"/>
          <w:sz w:val="28"/>
          <w:szCs w:val="28"/>
        </w:rPr>
      </w:pPr>
      <w:bookmarkStart w:id="5" w:name="_Toc190507479"/>
      <w:r>
        <w:rPr>
          <w:rFonts w:ascii="黑体" w:hAnsi="黑体" w:eastAsia="黑体"/>
          <w:b w:val="0"/>
          <w:sz w:val="28"/>
          <w:szCs w:val="28"/>
        </w:rPr>
        <w:t xml:space="preserve">3 </w:t>
      </w:r>
      <w:r>
        <w:rPr>
          <w:rFonts w:hint="eastAsia" w:ascii="黑体" w:hAnsi="黑体" w:eastAsia="黑体"/>
          <w:b w:val="0"/>
          <w:sz w:val="28"/>
          <w:szCs w:val="28"/>
        </w:rPr>
        <w:t>术语和定义</w:t>
      </w:r>
      <w:bookmarkEnd w:id="5"/>
    </w:p>
    <w:p w14:paraId="4FFF8C7E">
      <w:pPr>
        <w:ind w:firstLine="420" w:firstLineChars="200"/>
        <w:rPr>
          <w:rFonts w:ascii="宋体" w:hAnsi="宋体" w:eastAsia="宋体"/>
        </w:rPr>
      </w:pPr>
      <w:r>
        <w:rPr>
          <w:rFonts w:hint="eastAsia" w:ascii="宋体" w:hAnsi="宋体" w:eastAsia="宋体"/>
        </w:rPr>
        <w:t>下列术语和定义适用于本文件。</w:t>
      </w:r>
    </w:p>
    <w:p w14:paraId="488A07E1">
      <w:pPr>
        <w:jc w:val="left"/>
        <w:rPr>
          <w:rFonts w:ascii="黑体" w:hAnsi="黑体" w:eastAsia="黑体"/>
        </w:rPr>
      </w:pPr>
      <w:r>
        <w:rPr>
          <w:rFonts w:ascii="黑体" w:hAnsi="黑体" w:eastAsia="黑体"/>
        </w:rPr>
        <w:t>3.1</w:t>
      </w:r>
    </w:p>
    <w:p w14:paraId="5B80CF55">
      <w:pPr>
        <w:ind w:firstLine="420" w:firstLineChars="200"/>
        <w:rPr>
          <w:rFonts w:ascii="黑体" w:hAnsi="黑体" w:eastAsia="黑体"/>
        </w:rPr>
      </w:pPr>
      <w:r>
        <w:rPr>
          <w:rFonts w:hint="eastAsia" w:ascii="黑体" w:hAnsi="黑体" w:eastAsia="黑体"/>
        </w:rPr>
        <w:t>生态灌渠</w:t>
      </w:r>
      <w:r>
        <w:rPr>
          <w:rFonts w:ascii="黑体" w:hAnsi="黑体" w:eastAsia="黑体"/>
        </w:rPr>
        <w:t xml:space="preserve"> ecological ditch</w:t>
      </w:r>
    </w:p>
    <w:p w14:paraId="261F11B5">
      <w:pPr>
        <w:ind w:firstLine="420" w:firstLineChars="200"/>
        <w:rPr>
          <w:rFonts w:ascii="宋体" w:hAnsi="宋体" w:eastAsia="宋体"/>
        </w:rPr>
      </w:pPr>
      <w:r>
        <w:rPr>
          <w:rFonts w:hint="eastAsia" w:ascii="宋体" w:hAnsi="宋体" w:eastAsia="宋体"/>
        </w:rPr>
        <w:t>经过生态结构改造与调整和生态服务功能优化，具有独特生态结构，并发挥引水、排水、泄洪、水土保持、生态净化等功能的渠道。</w:t>
      </w:r>
    </w:p>
    <w:p w14:paraId="4C1A3D0D">
      <w:pPr>
        <w:jc w:val="left"/>
        <w:rPr>
          <w:rFonts w:ascii="黑体" w:hAnsi="黑体" w:eastAsia="黑体"/>
        </w:rPr>
      </w:pPr>
      <w:r>
        <w:rPr>
          <w:rFonts w:ascii="黑体" w:hAnsi="黑体" w:eastAsia="黑体"/>
        </w:rPr>
        <w:t>3.2</w:t>
      </w:r>
    </w:p>
    <w:p w14:paraId="77300663">
      <w:pPr>
        <w:ind w:firstLine="420" w:firstLineChars="200"/>
        <w:rPr>
          <w:rFonts w:ascii="黑体" w:hAnsi="黑体" w:eastAsia="黑体"/>
        </w:rPr>
      </w:pPr>
      <w:r>
        <w:rPr>
          <w:rFonts w:hint="eastAsia" w:ascii="黑体" w:hAnsi="黑体" w:eastAsia="黑体"/>
        </w:rPr>
        <w:t>生态护坡</w:t>
      </w:r>
      <w:r>
        <w:rPr>
          <w:rFonts w:ascii="黑体" w:hAnsi="黑体" w:eastAsia="黑体"/>
        </w:rPr>
        <w:t xml:space="preserve"> ecological slope</w:t>
      </w:r>
    </w:p>
    <w:p w14:paraId="69997B7B">
      <w:pPr>
        <w:ind w:firstLine="420" w:firstLineChars="200"/>
        <w:rPr>
          <w:rFonts w:ascii="宋体" w:hAnsi="宋体" w:eastAsia="宋体"/>
        </w:rPr>
      </w:pPr>
      <w:r>
        <w:rPr>
          <w:rFonts w:ascii="宋体" w:hAnsi="宋体" w:eastAsia="宋体"/>
        </w:rPr>
        <w:t>通过种植植物实现对渠道边坡表层</w:t>
      </w:r>
      <w:r>
        <w:rPr>
          <w:rFonts w:hint="eastAsia" w:ascii="宋体" w:hAnsi="宋体" w:eastAsia="宋体"/>
        </w:rPr>
        <w:t>的</w:t>
      </w:r>
      <w:r>
        <w:rPr>
          <w:rFonts w:ascii="宋体" w:hAnsi="宋体" w:eastAsia="宋体"/>
        </w:rPr>
        <w:t>防护、加固</w:t>
      </w:r>
      <w:r>
        <w:rPr>
          <w:rFonts w:hint="eastAsia" w:ascii="宋体" w:hAnsi="宋体" w:eastAsia="宋体"/>
        </w:rPr>
        <w:t>，</w:t>
      </w:r>
      <w:r>
        <w:rPr>
          <w:rFonts w:ascii="宋体" w:hAnsi="宋体" w:eastAsia="宋体"/>
        </w:rPr>
        <w:t>使之既满足对边坡表层稳定的要求，又能恢复被破坏的自然生态环境的护坡方式。</w:t>
      </w:r>
    </w:p>
    <w:p w14:paraId="5A36EF72">
      <w:pPr>
        <w:pStyle w:val="2"/>
        <w:spacing w:before="156" w:beforeLines="50" w:after="156" w:afterLines="50" w:line="240" w:lineRule="auto"/>
        <w:rPr>
          <w:rFonts w:ascii="黑体" w:hAnsi="黑体" w:eastAsia="黑体"/>
          <w:b w:val="0"/>
          <w:sz w:val="28"/>
          <w:szCs w:val="28"/>
        </w:rPr>
      </w:pPr>
      <w:bookmarkStart w:id="6" w:name="_Toc190507480"/>
      <w:r>
        <w:rPr>
          <w:rFonts w:ascii="黑体" w:hAnsi="黑体" w:eastAsia="黑体"/>
          <w:b w:val="0"/>
          <w:sz w:val="28"/>
          <w:szCs w:val="28"/>
        </w:rPr>
        <w:t xml:space="preserve">4 </w:t>
      </w:r>
      <w:r>
        <w:rPr>
          <w:rFonts w:hint="eastAsia" w:ascii="黑体" w:hAnsi="黑体" w:eastAsia="黑体"/>
          <w:b w:val="0"/>
          <w:sz w:val="28"/>
          <w:szCs w:val="28"/>
        </w:rPr>
        <w:t>基本原则</w:t>
      </w:r>
      <w:bookmarkEnd w:id="6"/>
    </w:p>
    <w:p w14:paraId="2363307A">
      <w:pPr>
        <w:rPr>
          <w:rFonts w:ascii="宋体" w:hAnsi="宋体" w:eastAsia="宋体"/>
        </w:rPr>
      </w:pPr>
      <w:r>
        <w:rPr>
          <w:rFonts w:ascii="黑体" w:hAnsi="黑体" w:eastAsia="黑体"/>
        </w:rPr>
        <w:t xml:space="preserve">4.1 </w:t>
      </w:r>
      <w:r>
        <w:rPr>
          <w:rFonts w:hint="eastAsia" w:ascii="宋体" w:hAnsi="宋体" w:eastAsia="宋体"/>
        </w:rPr>
        <w:t>生态优先，绿色建设。强调生态功能保护、恢复与提升，做到尊重自然、顺应自然、保护自然。</w:t>
      </w:r>
    </w:p>
    <w:p w14:paraId="1CEBEC34">
      <w:pPr>
        <w:rPr>
          <w:rFonts w:ascii="宋体" w:hAnsi="宋体" w:eastAsia="宋体"/>
        </w:rPr>
      </w:pPr>
      <w:r>
        <w:rPr>
          <w:rFonts w:hint="eastAsia" w:ascii="黑体" w:hAnsi="黑体" w:eastAsia="黑体"/>
        </w:rPr>
        <w:t>4</w:t>
      </w:r>
      <w:r>
        <w:rPr>
          <w:rFonts w:ascii="黑体" w:hAnsi="黑体" w:eastAsia="黑体"/>
        </w:rPr>
        <w:t>.2</w:t>
      </w:r>
      <w:r>
        <w:rPr>
          <w:rFonts w:ascii="宋体" w:hAnsi="宋体" w:eastAsia="宋体"/>
        </w:rPr>
        <w:t xml:space="preserve"> 因地制宜，突出重点。应遵循因地制宜、循环利用、生态美观、生态多样性保护的原则，优先采用生态建筑材料与乡土物种。</w:t>
      </w:r>
    </w:p>
    <w:p w14:paraId="793CF1E6">
      <w:pPr>
        <w:rPr>
          <w:rFonts w:ascii="宋体" w:hAnsi="宋体" w:eastAsia="宋体"/>
        </w:rPr>
      </w:pPr>
      <w:r>
        <w:rPr>
          <w:rFonts w:hint="eastAsia" w:ascii="黑体" w:hAnsi="黑体" w:eastAsia="黑体"/>
        </w:rPr>
        <w:t>4</w:t>
      </w:r>
      <w:r>
        <w:rPr>
          <w:rFonts w:ascii="黑体" w:hAnsi="黑体" w:eastAsia="黑体"/>
        </w:rPr>
        <w:t>.3</w:t>
      </w:r>
      <w:r>
        <w:rPr>
          <w:rFonts w:hint="eastAsia" w:ascii="宋体" w:hAnsi="宋体" w:eastAsia="宋体"/>
        </w:rPr>
        <w:t xml:space="preserve"> 系统治理，最低影响。</w:t>
      </w:r>
      <w:r>
        <w:rPr>
          <w:rFonts w:ascii="宋体" w:hAnsi="宋体" w:eastAsia="宋体"/>
        </w:rPr>
        <w:t>兼顾农田排水和生态拦截的功能，</w:t>
      </w:r>
      <w:r>
        <w:rPr>
          <w:rFonts w:hint="eastAsia" w:ascii="宋体" w:hAnsi="宋体" w:eastAsia="宋体"/>
        </w:rPr>
        <w:t>坚持利用原有农田排水系统，局部改造为主，避免大拆大改或废旧新建。</w:t>
      </w:r>
    </w:p>
    <w:p w14:paraId="48DBF055">
      <w:pPr>
        <w:pStyle w:val="2"/>
        <w:spacing w:before="156" w:beforeLines="50" w:after="156" w:afterLines="50" w:line="240" w:lineRule="auto"/>
        <w:rPr>
          <w:rFonts w:ascii="黑体" w:hAnsi="黑体" w:eastAsia="黑体"/>
          <w:b w:val="0"/>
          <w:sz w:val="28"/>
          <w:szCs w:val="28"/>
        </w:rPr>
      </w:pPr>
      <w:bookmarkStart w:id="7" w:name="_Toc190507481"/>
      <w:r>
        <w:rPr>
          <w:rFonts w:ascii="黑体" w:hAnsi="黑体" w:eastAsia="黑体"/>
          <w:b w:val="0"/>
          <w:sz w:val="28"/>
          <w:szCs w:val="28"/>
        </w:rPr>
        <w:t>5 生态灌渠</w:t>
      </w:r>
      <w:r>
        <w:rPr>
          <w:rFonts w:hint="eastAsia" w:ascii="黑体" w:hAnsi="黑体" w:eastAsia="黑体"/>
          <w:b w:val="0"/>
          <w:sz w:val="28"/>
          <w:szCs w:val="28"/>
        </w:rPr>
        <w:t>设计</w:t>
      </w:r>
      <w:bookmarkEnd w:id="7"/>
    </w:p>
    <w:p w14:paraId="3E20714A">
      <w:pPr>
        <w:pStyle w:val="3"/>
        <w:spacing w:before="156" w:beforeLines="50" w:after="156" w:afterLines="50" w:line="240" w:lineRule="auto"/>
        <w:rPr>
          <w:rFonts w:ascii="黑体" w:hAnsi="黑体" w:eastAsia="黑体"/>
          <w:b w:val="0"/>
          <w:sz w:val="21"/>
          <w:szCs w:val="21"/>
        </w:rPr>
      </w:pPr>
      <w:bookmarkStart w:id="8" w:name="_Toc190507482"/>
      <w:r>
        <w:rPr>
          <w:rFonts w:ascii="黑体" w:hAnsi="黑体" w:eastAsia="黑体"/>
          <w:b w:val="0"/>
          <w:sz w:val="21"/>
          <w:szCs w:val="21"/>
        </w:rPr>
        <w:t>5.1 一般规定</w:t>
      </w:r>
      <w:bookmarkEnd w:id="8"/>
    </w:p>
    <w:p w14:paraId="280BD2DD">
      <w:pPr>
        <w:rPr>
          <w:rFonts w:ascii="宋体" w:hAnsi="宋体" w:eastAsia="宋体"/>
        </w:rPr>
      </w:pPr>
      <w:r>
        <w:rPr>
          <w:rFonts w:hint="eastAsia" w:ascii="宋体" w:hAnsi="宋体" w:eastAsia="宋体"/>
        </w:rPr>
        <w:t>5</w:t>
      </w:r>
      <w:r>
        <w:rPr>
          <w:rFonts w:ascii="宋体" w:hAnsi="宋体" w:eastAsia="宋体"/>
        </w:rPr>
        <w:t>.1.1 在满足GB 50288、SL 482和SL/T 246的规定基础上，实施灌区生态灌渠建设工作。</w:t>
      </w:r>
    </w:p>
    <w:p w14:paraId="06325A99">
      <w:pPr>
        <w:rPr>
          <w:rFonts w:ascii="宋体" w:hAnsi="宋体" w:eastAsia="宋体"/>
        </w:rPr>
      </w:pPr>
      <w:r>
        <w:rPr>
          <w:rFonts w:hint="eastAsia" w:ascii="宋体" w:hAnsi="宋体" w:eastAsia="宋体"/>
        </w:rPr>
        <w:t>5</w:t>
      </w:r>
      <w:r>
        <w:rPr>
          <w:rFonts w:ascii="宋体" w:hAnsi="宋体" w:eastAsia="宋体"/>
        </w:rPr>
        <w:t xml:space="preserve">.1.2 </w:t>
      </w:r>
      <w:r>
        <w:rPr>
          <w:rFonts w:hint="eastAsia" w:ascii="宋体" w:hAnsi="宋体" w:eastAsia="宋体"/>
        </w:rPr>
        <w:t>灌区生态灌渠建设主要由工程部分和植物部分组成。</w:t>
      </w:r>
    </w:p>
    <w:p w14:paraId="0AF15106">
      <w:pPr>
        <w:pStyle w:val="30"/>
        <w:numPr>
          <w:ilvl w:val="0"/>
          <w:numId w:val="1"/>
        </w:numPr>
        <w:ind w:left="709" w:hanging="283" w:firstLineChars="0"/>
        <w:rPr>
          <w:rFonts w:ascii="宋体" w:hAnsi="宋体" w:eastAsia="宋体"/>
        </w:rPr>
      </w:pPr>
      <w:r>
        <w:rPr>
          <w:rFonts w:hint="eastAsia" w:ascii="宋体" w:hAnsi="宋体" w:eastAsia="宋体"/>
        </w:rPr>
        <w:t>工程部分主要指</w:t>
      </w:r>
      <w:r>
        <w:rPr>
          <w:rFonts w:ascii="宋体" w:hAnsi="宋体" w:eastAsia="宋体"/>
        </w:rPr>
        <w:t>灌渠形态、渠道基础、生态护坡、沉砂池、抗冲槽</w:t>
      </w:r>
      <w:r>
        <w:rPr>
          <w:rFonts w:hint="eastAsia" w:ascii="宋体" w:hAnsi="宋体" w:eastAsia="宋体"/>
        </w:rPr>
        <w:t>设施；</w:t>
      </w:r>
    </w:p>
    <w:p w14:paraId="701BBBD8">
      <w:pPr>
        <w:pStyle w:val="30"/>
        <w:numPr>
          <w:ilvl w:val="0"/>
          <w:numId w:val="1"/>
        </w:numPr>
        <w:ind w:left="709" w:hanging="283" w:firstLineChars="0"/>
        <w:rPr>
          <w:rFonts w:ascii="宋体" w:hAnsi="宋体" w:eastAsia="宋体"/>
        </w:rPr>
      </w:pPr>
      <w:r>
        <w:rPr>
          <w:rFonts w:ascii="宋体" w:hAnsi="宋体" w:eastAsia="宋体"/>
        </w:rPr>
        <w:t>植物部分主要指在渠底部和渠道内坡的植物配置。</w:t>
      </w:r>
    </w:p>
    <w:p w14:paraId="67BE97D6">
      <w:pPr>
        <w:pStyle w:val="3"/>
        <w:spacing w:before="156" w:beforeLines="50" w:after="156" w:afterLines="50" w:line="240" w:lineRule="auto"/>
        <w:rPr>
          <w:rFonts w:ascii="黑体" w:hAnsi="黑体" w:eastAsia="黑体"/>
          <w:b w:val="0"/>
          <w:sz w:val="21"/>
          <w:szCs w:val="21"/>
        </w:rPr>
      </w:pPr>
      <w:bookmarkStart w:id="9" w:name="_Toc190507483"/>
      <w:r>
        <w:rPr>
          <w:rFonts w:ascii="黑体" w:hAnsi="黑体" w:eastAsia="黑体"/>
          <w:b w:val="0"/>
          <w:sz w:val="21"/>
          <w:szCs w:val="21"/>
        </w:rPr>
        <w:t xml:space="preserve">5.2 </w:t>
      </w:r>
      <w:r>
        <w:rPr>
          <w:rFonts w:hint="eastAsia" w:ascii="黑体" w:hAnsi="黑体" w:eastAsia="黑体"/>
          <w:b w:val="0"/>
          <w:sz w:val="21"/>
          <w:szCs w:val="21"/>
        </w:rPr>
        <w:t>灌渠</w:t>
      </w:r>
      <w:r>
        <w:rPr>
          <w:rFonts w:ascii="黑体" w:hAnsi="黑体" w:eastAsia="黑体"/>
          <w:b w:val="0"/>
          <w:sz w:val="21"/>
          <w:szCs w:val="21"/>
        </w:rPr>
        <w:t>形态</w:t>
      </w:r>
      <w:bookmarkEnd w:id="9"/>
    </w:p>
    <w:p w14:paraId="6AEADEF3">
      <w:pPr>
        <w:rPr>
          <w:rFonts w:ascii="宋体" w:hAnsi="宋体" w:eastAsia="宋体"/>
        </w:rPr>
      </w:pPr>
      <w:r>
        <w:rPr>
          <w:rFonts w:ascii="黑体" w:hAnsi="黑体" w:eastAsia="黑体"/>
        </w:rPr>
        <w:t xml:space="preserve">5.2.1 </w:t>
      </w:r>
      <w:r>
        <w:rPr>
          <w:rFonts w:ascii="宋体" w:hAnsi="宋体" w:eastAsia="宋体"/>
        </w:rPr>
        <w:t>灌渠形态以“上宽下窄”的梯形为主，边坡坡度不宜超过60°。</w:t>
      </w:r>
    </w:p>
    <w:p w14:paraId="7C056BC5">
      <w:pPr>
        <w:rPr>
          <w:rFonts w:ascii="宋体" w:hAnsi="宋体" w:eastAsia="宋体"/>
        </w:rPr>
      </w:pPr>
      <w:r>
        <w:rPr>
          <w:rFonts w:ascii="黑体" w:hAnsi="黑体" w:eastAsia="黑体"/>
        </w:rPr>
        <w:t>5.2.2</w:t>
      </w:r>
      <w:r>
        <w:rPr>
          <w:rFonts w:ascii="宋体" w:hAnsi="宋体" w:eastAsia="宋体"/>
        </w:rPr>
        <w:t xml:space="preserve"> 灌渠形态应尽量保留原有弯道弧线，大湾随弯，小湾适度取直</w:t>
      </w:r>
      <w:r>
        <w:rPr>
          <w:rFonts w:hint="eastAsia" w:ascii="宋体" w:hAnsi="宋体" w:eastAsia="宋体"/>
        </w:rPr>
        <w:t>。</w:t>
      </w:r>
    </w:p>
    <w:p w14:paraId="4DED5F81">
      <w:pPr>
        <w:rPr>
          <w:rFonts w:ascii="宋体" w:hAnsi="宋体" w:eastAsia="宋体"/>
        </w:rPr>
      </w:pPr>
      <w:r>
        <w:rPr>
          <w:rFonts w:ascii="黑体" w:hAnsi="黑体" w:eastAsia="黑体"/>
        </w:rPr>
        <w:t>5.2.3</w:t>
      </w:r>
      <w:r>
        <w:rPr>
          <w:rFonts w:ascii="宋体" w:hAnsi="宋体" w:eastAsia="宋体"/>
        </w:rPr>
        <w:t xml:space="preserve"> 灌渠的布置应满足GB/T 30600的规定。</w:t>
      </w:r>
    </w:p>
    <w:p w14:paraId="6653B136">
      <w:pPr>
        <w:rPr>
          <w:rFonts w:ascii="宋体" w:hAnsi="宋体" w:eastAsia="宋体"/>
        </w:rPr>
      </w:pPr>
      <w:r>
        <w:rPr>
          <w:rFonts w:ascii="黑体" w:hAnsi="黑体" w:eastAsia="黑体"/>
        </w:rPr>
        <w:t>5.2.4</w:t>
      </w:r>
      <w:r>
        <w:rPr>
          <w:rFonts w:ascii="宋体" w:hAnsi="宋体" w:eastAsia="宋体"/>
        </w:rPr>
        <w:t xml:space="preserve"> 灌渠的水文计算应符合GB 50288的规定。</w:t>
      </w:r>
      <w:r>
        <w:rPr>
          <w:rFonts w:hint="eastAsia" w:ascii="宋体" w:hAnsi="宋体" w:eastAsia="宋体"/>
        </w:rPr>
        <w:t xml:space="preserve"> </w:t>
      </w:r>
    </w:p>
    <w:p w14:paraId="3FDE8C98">
      <w:pPr>
        <w:pStyle w:val="3"/>
        <w:spacing w:before="156" w:beforeLines="50" w:after="156" w:afterLines="50" w:line="240" w:lineRule="auto"/>
        <w:rPr>
          <w:rFonts w:ascii="黑体" w:hAnsi="黑体" w:eastAsia="黑体"/>
          <w:b w:val="0"/>
          <w:sz w:val="21"/>
          <w:szCs w:val="21"/>
        </w:rPr>
      </w:pPr>
      <w:bookmarkStart w:id="10" w:name="_Toc190507484"/>
      <w:r>
        <w:rPr>
          <w:rFonts w:hint="eastAsia" w:ascii="黑体" w:hAnsi="黑体" w:eastAsia="黑体"/>
          <w:b w:val="0"/>
          <w:sz w:val="21"/>
          <w:szCs w:val="21"/>
        </w:rPr>
        <w:t>5</w:t>
      </w:r>
      <w:r>
        <w:rPr>
          <w:rFonts w:ascii="黑体" w:hAnsi="黑体" w:eastAsia="黑体"/>
          <w:b w:val="0"/>
          <w:sz w:val="21"/>
          <w:szCs w:val="21"/>
        </w:rPr>
        <w:t>.3 渠道基础</w:t>
      </w:r>
      <w:bookmarkEnd w:id="10"/>
    </w:p>
    <w:p w14:paraId="63650F4F">
      <w:pPr>
        <w:ind w:firstLine="420" w:firstLineChars="200"/>
        <w:rPr>
          <w:rFonts w:ascii="宋体" w:hAnsi="宋体" w:eastAsia="宋体"/>
        </w:rPr>
      </w:pPr>
      <w:r>
        <w:rPr>
          <w:rFonts w:ascii="宋体" w:hAnsi="宋体" w:eastAsia="宋体"/>
        </w:rPr>
        <w:t>渠道基础建设视区域建筑材料获取难易程度及经济情况而定，宜选择土石结合方式</w:t>
      </w:r>
      <w:r>
        <w:rPr>
          <w:rFonts w:hint="eastAsia" w:ascii="宋体" w:hAnsi="宋体" w:eastAsia="宋体"/>
        </w:rPr>
        <w:t>。渠道底部基质以土质为主，易受冲刷部位宜设置卵石（块石）带，</w:t>
      </w:r>
      <w:r>
        <w:rPr>
          <w:rFonts w:ascii="宋体" w:hAnsi="宋体" w:eastAsia="宋体"/>
        </w:rPr>
        <w:t>卵石（块石）直径以5cm</w:t>
      </w:r>
      <w:r>
        <w:rPr>
          <w:rFonts w:hint="eastAsia" w:ascii="宋体" w:hAnsi="宋体" w:eastAsia="宋体"/>
        </w:rPr>
        <w:t>～</w:t>
      </w:r>
      <w:r>
        <w:rPr>
          <w:rFonts w:ascii="宋体" w:hAnsi="宋体" w:eastAsia="宋体"/>
        </w:rPr>
        <w:t>15cm为宜</w:t>
      </w:r>
      <w:r>
        <w:rPr>
          <w:rFonts w:hint="eastAsia" w:ascii="宋体" w:hAnsi="宋体" w:eastAsia="宋体"/>
        </w:rPr>
        <w:t>。</w:t>
      </w:r>
    </w:p>
    <w:p w14:paraId="45FFACC8">
      <w:pPr>
        <w:pStyle w:val="3"/>
        <w:spacing w:before="156" w:beforeLines="50" w:after="156" w:afterLines="50" w:line="240" w:lineRule="auto"/>
        <w:rPr>
          <w:rFonts w:ascii="黑体" w:hAnsi="黑体" w:eastAsia="黑体"/>
          <w:b w:val="0"/>
          <w:sz w:val="21"/>
          <w:szCs w:val="21"/>
        </w:rPr>
      </w:pPr>
      <w:bookmarkStart w:id="11" w:name="_Toc190507485"/>
      <w:r>
        <w:rPr>
          <w:rFonts w:ascii="黑体" w:hAnsi="黑体" w:eastAsia="黑体"/>
          <w:b w:val="0"/>
          <w:sz w:val="21"/>
          <w:szCs w:val="21"/>
        </w:rPr>
        <w:t>5.4 生态护坡</w:t>
      </w:r>
      <w:bookmarkEnd w:id="11"/>
    </w:p>
    <w:p w14:paraId="05E3E674">
      <w:pPr>
        <w:ind w:firstLine="420" w:firstLineChars="200"/>
        <w:rPr>
          <w:rFonts w:ascii="宋体" w:hAnsi="宋体" w:eastAsia="宋体"/>
        </w:rPr>
      </w:pPr>
      <w:r>
        <w:rPr>
          <w:rFonts w:ascii="宋体" w:hAnsi="宋体" w:eastAsia="宋体"/>
        </w:rPr>
        <w:t>生态护坡宜采用土质护坡和草方格护坡两种。</w:t>
      </w:r>
    </w:p>
    <w:p w14:paraId="4F9CBAEF">
      <w:pPr>
        <w:ind w:firstLine="360" w:firstLineChars="200"/>
        <w:rPr>
          <w:rFonts w:ascii="宋体" w:hAnsi="宋体" w:eastAsia="宋体"/>
          <w:sz w:val="18"/>
        </w:rPr>
      </w:pPr>
      <w:r>
        <w:rPr>
          <w:rFonts w:ascii="黑体" w:hAnsi="黑体" w:eastAsia="黑体"/>
          <w:sz w:val="18"/>
        </w:rPr>
        <w:t>注：</w:t>
      </w:r>
      <w:r>
        <w:rPr>
          <w:rFonts w:hint="eastAsia" w:ascii="宋体" w:hAnsi="宋体" w:eastAsia="宋体"/>
          <w:sz w:val="18"/>
        </w:rPr>
        <w:t>草方格护坡宜设置在坡面较陡、易垮塌的部位。</w:t>
      </w:r>
    </w:p>
    <w:p w14:paraId="4E9AE139">
      <w:pPr>
        <w:pStyle w:val="3"/>
        <w:spacing w:before="156" w:beforeLines="50" w:after="156" w:afterLines="50" w:line="240" w:lineRule="auto"/>
        <w:rPr>
          <w:rFonts w:ascii="黑体" w:hAnsi="黑体" w:eastAsia="黑体"/>
          <w:b w:val="0"/>
          <w:sz w:val="21"/>
          <w:szCs w:val="21"/>
        </w:rPr>
      </w:pPr>
      <w:bookmarkStart w:id="12" w:name="_Toc190507486"/>
      <w:r>
        <w:rPr>
          <w:rFonts w:ascii="黑体" w:hAnsi="黑体" w:eastAsia="黑体"/>
          <w:b w:val="0"/>
          <w:sz w:val="21"/>
          <w:szCs w:val="21"/>
        </w:rPr>
        <w:t>5.5 生态</w:t>
      </w:r>
      <w:r>
        <w:rPr>
          <w:rFonts w:hint="eastAsia" w:ascii="黑体" w:hAnsi="黑体" w:eastAsia="黑体"/>
          <w:b w:val="0"/>
          <w:sz w:val="21"/>
          <w:szCs w:val="21"/>
        </w:rPr>
        <w:t>沉</w:t>
      </w:r>
      <w:r>
        <w:rPr>
          <w:rFonts w:ascii="黑体" w:hAnsi="黑体" w:eastAsia="黑体"/>
          <w:b w:val="0"/>
          <w:sz w:val="21"/>
          <w:szCs w:val="21"/>
        </w:rPr>
        <w:t>沙池</w:t>
      </w:r>
      <w:bookmarkEnd w:id="12"/>
    </w:p>
    <w:p w14:paraId="46B1CA4E">
      <w:pPr>
        <w:ind w:firstLine="420" w:firstLineChars="200"/>
        <w:rPr>
          <w:rFonts w:ascii="宋体" w:hAnsi="宋体" w:eastAsia="宋体"/>
        </w:rPr>
      </w:pPr>
      <w:r>
        <w:rPr>
          <w:rFonts w:ascii="宋体" w:hAnsi="宋体" w:eastAsia="宋体"/>
        </w:rPr>
        <w:t>沉沙池四侧挡水墙</w:t>
      </w:r>
      <w:r>
        <w:rPr>
          <w:rFonts w:hint="eastAsia" w:ascii="宋体" w:hAnsi="宋体" w:eastAsia="宋体"/>
        </w:rPr>
        <w:t>宜采用</w:t>
      </w:r>
      <w:r>
        <w:rPr>
          <w:rFonts w:ascii="宋体" w:hAnsi="宋体" w:eastAsia="宋体"/>
        </w:rPr>
        <w:t>条石结构，底部以条石或卵石堆砌，厚度0.15m</w:t>
      </w:r>
      <w:r>
        <w:rPr>
          <w:rFonts w:hint="eastAsia" w:ascii="宋体" w:hAnsi="宋体" w:eastAsia="宋体"/>
        </w:rPr>
        <w:t>～</w:t>
      </w:r>
      <w:r>
        <w:rPr>
          <w:rFonts w:ascii="宋体" w:hAnsi="宋体" w:eastAsia="宋体"/>
        </w:rPr>
        <w:t>0.2m。</w:t>
      </w:r>
    </w:p>
    <w:p w14:paraId="73908F75">
      <w:pPr>
        <w:pStyle w:val="3"/>
        <w:spacing w:before="156" w:beforeLines="50" w:after="156" w:afterLines="50" w:line="240" w:lineRule="auto"/>
        <w:rPr>
          <w:rFonts w:ascii="黑体" w:hAnsi="黑体" w:eastAsia="黑体"/>
          <w:b w:val="0"/>
          <w:sz w:val="21"/>
          <w:szCs w:val="21"/>
        </w:rPr>
      </w:pPr>
      <w:bookmarkStart w:id="13" w:name="_Toc190507487"/>
      <w:r>
        <w:rPr>
          <w:rFonts w:ascii="黑体" w:hAnsi="黑体" w:eastAsia="黑体"/>
          <w:b w:val="0"/>
          <w:sz w:val="21"/>
          <w:szCs w:val="21"/>
        </w:rPr>
        <w:t>5.6 生态挡水坝</w:t>
      </w:r>
      <w:bookmarkEnd w:id="13"/>
    </w:p>
    <w:p w14:paraId="6469731D">
      <w:pPr>
        <w:rPr>
          <w:rFonts w:ascii="宋体" w:hAnsi="宋体" w:eastAsia="宋体"/>
        </w:rPr>
      </w:pPr>
      <w:r>
        <w:rPr>
          <w:rFonts w:hint="eastAsia" w:ascii="宋体" w:hAnsi="宋体" w:eastAsia="宋体"/>
        </w:rPr>
        <w:t>5</w:t>
      </w:r>
      <w:r>
        <w:rPr>
          <w:rFonts w:ascii="宋体" w:hAnsi="宋体" w:eastAsia="宋体"/>
        </w:rPr>
        <w:t>.6.1 生态灌渠平直段宜根据流速修建小型挡水堰，用于降低流速，增加抗冲能力，延长水体滞留时间，营造水生生物活动空间。</w:t>
      </w:r>
    </w:p>
    <w:p w14:paraId="1B5F38F7">
      <w:r>
        <w:rPr>
          <w:rFonts w:ascii="宋体" w:hAnsi="宋体" w:eastAsia="宋体"/>
        </w:rPr>
        <w:t>5.6.2 挡水</w:t>
      </w:r>
      <w:r>
        <w:rPr>
          <w:rFonts w:hint="eastAsia" w:ascii="宋体" w:hAnsi="宋体" w:eastAsia="宋体"/>
        </w:rPr>
        <w:t>堰</w:t>
      </w:r>
      <w:r>
        <w:rPr>
          <w:rFonts w:ascii="宋体" w:hAnsi="宋体" w:eastAsia="宋体"/>
        </w:rPr>
        <w:t>可采用条石或卵石干砌建成，与沟宽相同，蓄水深度15cm</w:t>
      </w:r>
      <w:r>
        <w:rPr>
          <w:rFonts w:hint="eastAsia" w:ascii="宋体" w:hAnsi="宋体" w:eastAsia="宋体"/>
        </w:rPr>
        <w:t>～</w:t>
      </w:r>
      <w:r>
        <w:rPr>
          <w:rFonts w:ascii="宋体" w:hAnsi="宋体" w:eastAsia="宋体"/>
        </w:rPr>
        <w:t>30cm为宜。</w:t>
      </w:r>
    </w:p>
    <w:p w14:paraId="4016EB8E">
      <w:pPr>
        <w:pStyle w:val="3"/>
        <w:spacing w:before="156" w:beforeLines="50" w:after="156" w:afterLines="50" w:line="240" w:lineRule="auto"/>
        <w:rPr>
          <w:rFonts w:ascii="黑体" w:hAnsi="黑体" w:eastAsia="黑体"/>
          <w:b w:val="0"/>
          <w:sz w:val="21"/>
          <w:szCs w:val="21"/>
        </w:rPr>
      </w:pPr>
      <w:bookmarkStart w:id="14" w:name="_Toc190507488"/>
      <w:r>
        <w:rPr>
          <w:rFonts w:ascii="黑体" w:hAnsi="黑体" w:eastAsia="黑体"/>
          <w:b w:val="0"/>
          <w:sz w:val="21"/>
          <w:szCs w:val="21"/>
        </w:rPr>
        <w:t>5.7 生态</w:t>
      </w:r>
      <w:r>
        <w:rPr>
          <w:rFonts w:hint="eastAsia" w:ascii="黑体" w:hAnsi="黑体" w:eastAsia="黑体"/>
          <w:b w:val="0"/>
          <w:sz w:val="21"/>
          <w:szCs w:val="21"/>
        </w:rPr>
        <w:t>防</w:t>
      </w:r>
      <w:r>
        <w:rPr>
          <w:rFonts w:ascii="黑体" w:hAnsi="黑体" w:eastAsia="黑体"/>
          <w:b w:val="0"/>
          <w:sz w:val="21"/>
          <w:szCs w:val="21"/>
        </w:rPr>
        <w:t>冲槽</w:t>
      </w:r>
      <w:bookmarkEnd w:id="14"/>
    </w:p>
    <w:p w14:paraId="418423B5">
      <w:pPr>
        <w:rPr>
          <w:rFonts w:ascii="宋体" w:hAnsi="宋体" w:eastAsia="宋体"/>
        </w:rPr>
      </w:pPr>
      <w:r>
        <w:rPr>
          <w:rFonts w:hint="eastAsia" w:ascii="黑体" w:hAnsi="黑体" w:eastAsia="黑体"/>
        </w:rPr>
        <w:t>5</w:t>
      </w:r>
      <w:r>
        <w:rPr>
          <w:rFonts w:ascii="黑体" w:hAnsi="黑体" w:eastAsia="黑体"/>
        </w:rPr>
        <w:t>.7.1</w:t>
      </w:r>
      <w:r>
        <w:rPr>
          <w:rFonts w:ascii="宋体" w:hAnsi="宋体" w:eastAsia="宋体"/>
        </w:rPr>
        <w:t xml:space="preserve"> </w:t>
      </w:r>
      <w:r>
        <w:rPr>
          <w:rFonts w:hint="eastAsia" w:ascii="宋体" w:hAnsi="宋体" w:eastAsia="宋体"/>
        </w:rPr>
        <w:t>在生态渠道转弯处、农田排水口、汇流冲刷较强等地方，宜采用卵石、块石干砌铺设防冲槽减缓水流冲刷。</w:t>
      </w:r>
    </w:p>
    <w:p w14:paraId="2D77A52B">
      <w:pPr>
        <w:rPr>
          <w:rFonts w:ascii="宋体" w:hAnsi="宋体" w:eastAsia="宋体"/>
        </w:rPr>
      </w:pPr>
      <w:r>
        <w:rPr>
          <w:rFonts w:ascii="黑体" w:hAnsi="黑体" w:eastAsia="黑体"/>
        </w:rPr>
        <w:t>5.7.2</w:t>
      </w:r>
      <w:r>
        <w:rPr>
          <w:rFonts w:hint="eastAsia" w:ascii="宋体" w:hAnsi="宋体" w:eastAsia="宋体"/>
        </w:rPr>
        <w:t xml:space="preserve"> </w:t>
      </w:r>
      <w:r>
        <w:rPr>
          <w:rFonts w:ascii="宋体" w:hAnsi="宋体" w:eastAsia="宋体"/>
        </w:rPr>
        <w:t>防冲槽铺设面积可依据承受冲刷的范围确定，铺设厚度以20</w:t>
      </w:r>
      <w:r>
        <w:rPr>
          <w:rFonts w:hint="eastAsia" w:ascii="宋体" w:hAnsi="宋体" w:eastAsia="宋体"/>
        </w:rPr>
        <w:t>～3</w:t>
      </w:r>
      <w:r>
        <w:rPr>
          <w:rFonts w:ascii="宋体" w:hAnsi="宋体" w:eastAsia="宋体"/>
        </w:rPr>
        <w:t>0cm为宜，卵石、块石直径以5cm</w:t>
      </w:r>
      <w:r>
        <w:rPr>
          <w:rFonts w:hint="eastAsia" w:ascii="宋体" w:hAnsi="宋体" w:eastAsia="宋体"/>
        </w:rPr>
        <w:t>～</w:t>
      </w:r>
      <w:r>
        <w:rPr>
          <w:rFonts w:ascii="宋体" w:hAnsi="宋体" w:eastAsia="宋体"/>
        </w:rPr>
        <w:t>15cm为宜。</w:t>
      </w:r>
    </w:p>
    <w:p w14:paraId="4AA9E912">
      <w:pPr>
        <w:rPr>
          <w:rFonts w:ascii="宋体" w:hAnsi="宋体" w:eastAsia="宋体"/>
        </w:rPr>
      </w:pPr>
      <w:r>
        <w:rPr>
          <w:rFonts w:ascii="黑体" w:hAnsi="黑体" w:eastAsia="黑体"/>
        </w:rPr>
        <w:t>5.7.3</w:t>
      </w:r>
      <w:r>
        <w:rPr>
          <w:rFonts w:ascii="宋体" w:hAnsi="宋体" w:eastAsia="宋体"/>
        </w:rPr>
        <w:t xml:space="preserve"> </w:t>
      </w:r>
      <w:r>
        <w:rPr>
          <w:rFonts w:hint="eastAsia" w:ascii="宋体" w:hAnsi="宋体" w:eastAsia="宋体"/>
        </w:rPr>
        <w:t>防</w:t>
      </w:r>
      <w:r>
        <w:rPr>
          <w:rFonts w:ascii="宋体" w:hAnsi="宋体" w:eastAsia="宋体"/>
        </w:rPr>
        <w:t>冲槽布设宜采用顺着水流方向依次紧密自然排列</w:t>
      </w:r>
      <w:r>
        <w:rPr>
          <w:rFonts w:hint="eastAsia" w:ascii="宋体" w:hAnsi="宋体" w:eastAsia="宋体"/>
        </w:rPr>
        <w:t>。</w:t>
      </w:r>
    </w:p>
    <w:p w14:paraId="277784A2">
      <w:pPr>
        <w:pStyle w:val="3"/>
        <w:spacing w:before="156" w:beforeLines="50" w:after="156" w:afterLines="50" w:line="240" w:lineRule="auto"/>
        <w:rPr>
          <w:rFonts w:ascii="黑体" w:hAnsi="黑体" w:eastAsia="黑体"/>
          <w:b w:val="0"/>
          <w:sz w:val="21"/>
          <w:szCs w:val="21"/>
        </w:rPr>
      </w:pPr>
      <w:bookmarkStart w:id="15" w:name="_Toc190507489"/>
      <w:r>
        <w:rPr>
          <w:rFonts w:ascii="黑体" w:hAnsi="黑体" w:eastAsia="黑体"/>
          <w:b w:val="0"/>
          <w:sz w:val="21"/>
          <w:szCs w:val="21"/>
        </w:rPr>
        <w:t>5.8 植物配置</w:t>
      </w:r>
      <w:bookmarkEnd w:id="15"/>
    </w:p>
    <w:p w14:paraId="3D1B0126">
      <w:pPr>
        <w:rPr>
          <w:rFonts w:ascii="宋体" w:hAnsi="宋体" w:eastAsia="宋体"/>
        </w:rPr>
      </w:pPr>
      <w:r>
        <w:rPr>
          <w:rFonts w:ascii="黑体" w:hAnsi="黑体" w:eastAsia="黑体"/>
        </w:rPr>
        <w:t>5.8.1</w:t>
      </w:r>
      <w:r>
        <w:rPr>
          <w:rFonts w:ascii="宋体" w:hAnsi="宋体" w:eastAsia="宋体"/>
        </w:rPr>
        <w:t xml:space="preserve"> 边坡植物选取以乡土草本植物为主，间或灌木</w:t>
      </w:r>
      <w:r>
        <w:rPr>
          <w:rFonts w:hint="eastAsia" w:ascii="宋体" w:hAnsi="宋体" w:eastAsia="宋体"/>
        </w:rPr>
        <w:t>，</w:t>
      </w:r>
      <w:r>
        <w:rPr>
          <w:rFonts w:ascii="宋体" w:hAnsi="宋体" w:eastAsia="宋体"/>
        </w:rPr>
        <w:t>不宜种植乔木，植物覆盖度宜在85%</w:t>
      </w:r>
      <w:r>
        <w:rPr>
          <w:rFonts w:hint="eastAsia" w:ascii="宋体" w:hAnsi="宋体" w:eastAsia="宋体"/>
        </w:rPr>
        <w:t>～</w:t>
      </w:r>
      <w:r>
        <w:rPr>
          <w:rFonts w:ascii="宋体" w:hAnsi="宋体" w:eastAsia="宋体"/>
        </w:rPr>
        <w:t>100%之间。</w:t>
      </w:r>
    </w:p>
    <w:p w14:paraId="37C6A816">
      <w:pPr>
        <w:rPr>
          <w:rFonts w:ascii="宋体" w:hAnsi="宋体" w:eastAsia="宋体"/>
        </w:rPr>
      </w:pPr>
      <w:r>
        <w:rPr>
          <w:rFonts w:hint="eastAsia" w:ascii="黑体" w:hAnsi="黑体" w:eastAsia="黑体"/>
        </w:rPr>
        <w:t>5</w:t>
      </w:r>
      <w:r>
        <w:rPr>
          <w:rFonts w:ascii="黑体" w:hAnsi="黑体" w:eastAsia="黑体"/>
        </w:rPr>
        <w:t>.8.2</w:t>
      </w:r>
      <w:r>
        <w:rPr>
          <w:rFonts w:ascii="宋体" w:hAnsi="宋体" w:eastAsia="宋体"/>
        </w:rPr>
        <w:t xml:space="preserve"> </w:t>
      </w:r>
      <w:r>
        <w:rPr>
          <w:rFonts w:hint="eastAsia" w:ascii="宋体" w:hAnsi="宋体" w:eastAsia="宋体"/>
        </w:rPr>
        <w:t>渠床植物配置</w:t>
      </w:r>
      <w:r>
        <w:rPr>
          <w:rFonts w:ascii="宋体" w:hAnsi="宋体" w:eastAsia="宋体"/>
        </w:rPr>
        <w:t>以草本沉水植物和挺水植物为主，植物覆盖度</w:t>
      </w:r>
      <w:r>
        <w:rPr>
          <w:rFonts w:hint="eastAsia" w:ascii="宋体" w:hAnsi="宋体" w:eastAsia="宋体"/>
        </w:rPr>
        <w:t>宜</w:t>
      </w:r>
      <w:r>
        <w:rPr>
          <w:rFonts w:ascii="宋体" w:hAnsi="宋体" w:eastAsia="宋体"/>
        </w:rPr>
        <w:t>在60%</w:t>
      </w:r>
      <w:r>
        <w:rPr>
          <w:rFonts w:hint="eastAsia" w:ascii="宋体" w:hAnsi="宋体" w:eastAsia="宋体"/>
        </w:rPr>
        <w:t>～</w:t>
      </w:r>
      <w:r>
        <w:rPr>
          <w:rFonts w:ascii="宋体" w:hAnsi="宋体" w:eastAsia="宋体"/>
        </w:rPr>
        <w:t>80%之间。</w:t>
      </w:r>
    </w:p>
    <w:p w14:paraId="5884A81E">
      <w:pPr>
        <w:pStyle w:val="2"/>
        <w:spacing w:before="156" w:beforeLines="50" w:after="156" w:afterLines="50" w:line="240" w:lineRule="auto"/>
      </w:pPr>
      <w:bookmarkStart w:id="16" w:name="_Toc190507490"/>
      <w:r>
        <w:rPr>
          <w:rFonts w:ascii="黑体" w:hAnsi="黑体" w:eastAsia="黑体"/>
          <w:b w:val="0"/>
          <w:sz w:val="28"/>
          <w:szCs w:val="28"/>
        </w:rPr>
        <w:t>6 养护维护</w:t>
      </w:r>
      <w:bookmarkEnd w:id="16"/>
    </w:p>
    <w:p w14:paraId="0ABA119F">
      <w:pPr>
        <w:rPr>
          <w:rFonts w:ascii="宋体" w:hAnsi="宋体" w:eastAsia="宋体"/>
        </w:rPr>
      </w:pPr>
      <w:r>
        <w:rPr>
          <w:rFonts w:ascii="黑体" w:hAnsi="黑体" w:eastAsia="黑体"/>
        </w:rPr>
        <w:t>6.1</w:t>
      </w:r>
      <w:r>
        <w:rPr>
          <w:rFonts w:ascii="宋体" w:hAnsi="宋体" w:eastAsia="宋体"/>
        </w:rPr>
        <w:t xml:space="preserve"> 生态灌渠养护维护要求可参照 SL/T 246 的规定执行。</w:t>
      </w:r>
    </w:p>
    <w:p w14:paraId="10F3B86D">
      <w:pPr>
        <w:rPr>
          <w:rFonts w:ascii="宋体" w:hAnsi="宋体" w:eastAsia="宋体"/>
        </w:rPr>
      </w:pPr>
      <w:r>
        <w:rPr>
          <w:rFonts w:hint="eastAsia" w:ascii="黑体" w:hAnsi="黑体" w:eastAsia="黑体"/>
        </w:rPr>
        <w:t>6</w:t>
      </w:r>
      <w:r>
        <w:rPr>
          <w:rFonts w:ascii="黑体" w:hAnsi="黑体" w:eastAsia="黑体"/>
        </w:rPr>
        <w:t>.2</w:t>
      </w:r>
      <w:r>
        <w:rPr>
          <w:rFonts w:ascii="宋体" w:hAnsi="宋体" w:eastAsia="宋体"/>
        </w:rPr>
        <w:t xml:space="preserve"> </w:t>
      </w:r>
      <w:r>
        <w:rPr>
          <w:rFonts w:hint="eastAsia" w:ascii="宋体" w:hAnsi="宋体" w:eastAsia="宋体"/>
        </w:rPr>
        <w:t>灌区</w:t>
      </w:r>
      <w:r>
        <w:rPr>
          <w:rFonts w:ascii="宋体" w:hAnsi="宋体" w:eastAsia="宋体"/>
        </w:rPr>
        <w:t>渠道植物系统建立后，合理安排渠道生态流量，保证渠道植物密度及良性生长。</w:t>
      </w:r>
    </w:p>
    <w:p w14:paraId="6A2CAA61">
      <w:pPr>
        <w:rPr>
          <w:rFonts w:ascii="宋体" w:hAnsi="宋体" w:eastAsia="宋体"/>
        </w:rPr>
      </w:pPr>
      <w:r>
        <w:rPr>
          <w:rFonts w:ascii="黑体" w:hAnsi="黑体" w:eastAsia="黑体"/>
        </w:rPr>
        <w:t>6.3</w:t>
      </w:r>
      <w:r>
        <w:rPr>
          <w:rFonts w:ascii="宋体" w:hAnsi="宋体" w:eastAsia="宋体"/>
        </w:rPr>
        <w:t xml:space="preserve"> 渠道日常监测过程中发现以下情况，应及时上报灌区管理单位:</w:t>
      </w:r>
    </w:p>
    <w:p w14:paraId="3E6A6538">
      <w:pPr>
        <w:pStyle w:val="30"/>
        <w:numPr>
          <w:ilvl w:val="0"/>
          <w:numId w:val="2"/>
        </w:numPr>
        <w:ind w:left="709" w:hanging="285" w:firstLineChars="0"/>
        <w:rPr>
          <w:rFonts w:ascii="宋体" w:hAnsi="宋体" w:eastAsia="宋体"/>
        </w:rPr>
      </w:pPr>
      <w:r>
        <w:rPr>
          <w:rFonts w:ascii="宋体" w:hAnsi="宋体" w:eastAsia="宋体"/>
        </w:rPr>
        <w:t>生态灌渠岸坡破损、垮塌、裸露等</w:t>
      </w:r>
      <w:r>
        <w:rPr>
          <w:rFonts w:hint="eastAsia" w:ascii="宋体" w:hAnsi="宋体" w:eastAsia="宋体"/>
        </w:rPr>
        <w:t>；</w:t>
      </w:r>
    </w:p>
    <w:p w14:paraId="289E7928">
      <w:pPr>
        <w:pStyle w:val="30"/>
        <w:numPr>
          <w:ilvl w:val="0"/>
          <w:numId w:val="2"/>
        </w:numPr>
        <w:ind w:left="709" w:hanging="285" w:firstLineChars="0"/>
        <w:rPr>
          <w:rFonts w:ascii="宋体" w:hAnsi="宋体" w:eastAsia="宋体"/>
        </w:rPr>
      </w:pPr>
      <w:r>
        <w:rPr>
          <w:rFonts w:ascii="宋体" w:hAnsi="宋体" w:eastAsia="宋体"/>
        </w:rPr>
        <w:t>生态灌渠无进水或无出水</w:t>
      </w:r>
      <w:r>
        <w:rPr>
          <w:rFonts w:hint="eastAsia" w:ascii="宋体" w:hAnsi="宋体" w:eastAsia="宋体"/>
        </w:rPr>
        <w:t>；</w:t>
      </w:r>
    </w:p>
    <w:p w14:paraId="52EE35EB">
      <w:pPr>
        <w:pStyle w:val="30"/>
        <w:numPr>
          <w:ilvl w:val="0"/>
          <w:numId w:val="2"/>
        </w:numPr>
        <w:ind w:left="709" w:hanging="285" w:firstLineChars="0"/>
        <w:rPr>
          <w:rFonts w:ascii="宋体" w:hAnsi="宋体" w:eastAsia="宋体"/>
        </w:rPr>
      </w:pPr>
      <w:r>
        <w:rPr>
          <w:rFonts w:ascii="宋体" w:hAnsi="宋体" w:eastAsia="宋体"/>
        </w:rPr>
        <w:t>生态灌渠堵塞，无法正常运行</w:t>
      </w:r>
      <w:r>
        <w:rPr>
          <w:rFonts w:hint="eastAsia" w:ascii="宋体" w:hAnsi="宋体" w:eastAsia="宋体"/>
        </w:rPr>
        <w:t>；</w:t>
      </w:r>
    </w:p>
    <w:p w14:paraId="6656B8A3">
      <w:pPr>
        <w:pStyle w:val="30"/>
        <w:numPr>
          <w:ilvl w:val="0"/>
          <w:numId w:val="2"/>
        </w:numPr>
        <w:ind w:left="709" w:hanging="285" w:firstLineChars="0"/>
        <w:rPr>
          <w:rFonts w:ascii="宋体" w:hAnsi="宋体" w:eastAsia="宋体"/>
        </w:rPr>
      </w:pPr>
      <w:r>
        <w:rPr>
          <w:rFonts w:hint="eastAsia" w:ascii="宋体" w:hAnsi="宋体" w:eastAsia="宋体"/>
        </w:rPr>
        <w:t>生态灌渠内的植物稀疏、枯死、冻死。</w:t>
      </w:r>
    </w:p>
    <w:p w14:paraId="3E86F7A4">
      <w:pPr>
        <w:rPr>
          <w:rFonts w:ascii="宋体" w:hAnsi="宋体" w:eastAsia="宋体"/>
        </w:rPr>
      </w:pPr>
      <w:r>
        <w:rPr>
          <w:rFonts w:ascii="黑体" w:hAnsi="黑体" w:eastAsia="黑体"/>
        </w:rPr>
        <w:t>6.4</w:t>
      </w:r>
      <w:r>
        <w:rPr>
          <w:rFonts w:hint="eastAsia" w:ascii="宋体" w:hAnsi="宋体" w:eastAsia="宋体"/>
        </w:rPr>
        <w:t xml:space="preserve"> 渠底淤积物或植物过多时应及时清理，保证渠道过水能力和渠内植物的正常生长。</w:t>
      </w:r>
    </w:p>
    <w:p w14:paraId="6B300A6E">
      <w:pPr>
        <w:rPr>
          <w:rFonts w:ascii="宋体" w:hAnsi="宋体" w:eastAsia="宋体"/>
        </w:rPr>
      </w:pPr>
      <w:r>
        <w:rPr>
          <w:rFonts w:hint="eastAsia" w:ascii="黑体" w:hAnsi="黑体" w:eastAsia="黑体"/>
        </w:rPr>
        <w:t>6</w:t>
      </w:r>
      <w:r>
        <w:rPr>
          <w:rFonts w:ascii="黑体" w:hAnsi="黑体" w:eastAsia="黑体"/>
        </w:rPr>
        <w:t>.5</w:t>
      </w:r>
      <w:r>
        <w:rPr>
          <w:rFonts w:ascii="宋体" w:hAnsi="宋体" w:eastAsia="宋体"/>
        </w:rPr>
        <w:t xml:space="preserve"> </w:t>
      </w:r>
      <w:r>
        <w:rPr>
          <w:rFonts w:hint="eastAsia" w:ascii="宋体" w:hAnsi="宋体" w:eastAsia="宋体"/>
        </w:rPr>
        <w:t>宜在春季进行渠道清淤，</w:t>
      </w:r>
      <w:r>
        <w:rPr>
          <w:rFonts w:ascii="宋体" w:hAnsi="宋体" w:eastAsia="宋体"/>
        </w:rPr>
        <w:t>清淤时应提前移出灌渠内植物，清淤完成后，按原植物配置方案补栽；植物栽种后，应进行水位调节保证移栽植物存活率。</w:t>
      </w:r>
    </w:p>
    <w:p w14:paraId="1E90D0CA">
      <w:pPr>
        <w:rPr>
          <w:rFonts w:ascii="宋体" w:hAnsi="宋体" w:eastAsia="宋体"/>
        </w:rPr>
      </w:pPr>
      <w:r>
        <w:rPr>
          <w:rFonts w:hint="eastAsia" w:ascii="黑体" w:hAnsi="黑体" w:eastAsia="黑体"/>
        </w:rPr>
        <w:t>6</w:t>
      </w:r>
      <w:r>
        <w:rPr>
          <w:rFonts w:ascii="黑体" w:hAnsi="黑体" w:eastAsia="黑体"/>
        </w:rPr>
        <w:t>.6</w:t>
      </w:r>
      <w:r>
        <w:rPr>
          <w:rFonts w:ascii="宋体" w:hAnsi="宋体" w:eastAsia="宋体"/>
        </w:rPr>
        <w:t xml:space="preserve"> 视植物生长情况，进行缺苗补种，适时收割以及控制病虫害等，不宜使用除草剂、杀虫剂等。</w:t>
      </w:r>
    </w:p>
    <w:p w14:paraId="55E66B2C">
      <w:pPr>
        <w:pStyle w:val="2"/>
        <w:spacing w:before="156" w:beforeLines="50" w:after="156" w:afterLines="50" w:line="240" w:lineRule="auto"/>
        <w:jc w:val="center"/>
        <w:rPr>
          <w:rFonts w:ascii="宋体" w:hAnsi="宋体" w:eastAsia="宋体"/>
          <w:spacing w:val="132"/>
        </w:rPr>
      </w:pPr>
      <w:r>
        <w:rPr>
          <w:rFonts w:ascii="宋体" w:hAnsi="宋体" w:eastAsia="宋体"/>
        </w:rPr>
        <w:br w:type="page"/>
      </w:r>
      <w:bookmarkStart w:id="17" w:name="_Toc190507491"/>
      <w:r>
        <w:rPr>
          <w:rFonts w:ascii="黑体" w:hAnsi="黑体" w:eastAsia="黑体"/>
          <w:b w:val="0"/>
          <w:spacing w:val="132"/>
          <w:sz w:val="28"/>
          <w:szCs w:val="28"/>
        </w:rPr>
        <w:t>参考文献</w:t>
      </w:r>
      <w:bookmarkEnd w:id="17"/>
    </w:p>
    <w:p w14:paraId="05450C76">
      <w:pPr>
        <w:pStyle w:val="30"/>
        <w:numPr>
          <w:ilvl w:val="0"/>
          <w:numId w:val="3"/>
        </w:numPr>
        <w:ind w:firstLineChars="0"/>
        <w:rPr>
          <w:rFonts w:ascii="宋体" w:hAnsi="宋体" w:eastAsia="宋体"/>
        </w:rPr>
      </w:pPr>
      <w:r>
        <w:rPr>
          <w:rFonts w:ascii="宋体" w:hAnsi="宋体" w:eastAsia="宋体"/>
        </w:rPr>
        <w:t>SL 25  石坝设计规范</w:t>
      </w:r>
    </w:p>
    <w:p w14:paraId="18FAEDD8">
      <w:pPr>
        <w:pStyle w:val="30"/>
        <w:numPr>
          <w:ilvl w:val="0"/>
          <w:numId w:val="3"/>
        </w:numPr>
        <w:ind w:firstLineChars="0"/>
        <w:rPr>
          <w:rFonts w:ascii="宋体" w:hAnsi="宋体" w:eastAsia="宋体"/>
        </w:rPr>
      </w:pPr>
      <w:r>
        <w:rPr>
          <w:rFonts w:ascii="宋体" w:hAnsi="宋体" w:eastAsia="宋体"/>
        </w:rPr>
        <w:t xml:space="preserve">SL 289  </w:t>
      </w:r>
      <w:r>
        <w:rPr>
          <w:rFonts w:hint="eastAsia" w:ascii="宋体" w:hAnsi="宋体" w:eastAsia="宋体"/>
        </w:rPr>
        <w:t>淤地坝技术规范</w:t>
      </w:r>
    </w:p>
    <w:p w14:paraId="3AFBA8DE">
      <w:pPr>
        <w:pStyle w:val="30"/>
        <w:numPr>
          <w:ilvl w:val="0"/>
          <w:numId w:val="3"/>
        </w:numPr>
        <w:ind w:firstLineChars="0"/>
        <w:rPr>
          <w:rFonts w:ascii="宋体" w:hAnsi="宋体" w:eastAsia="宋体"/>
        </w:rPr>
      </w:pPr>
      <w:r>
        <w:rPr>
          <w:rFonts w:ascii="宋体" w:hAnsi="宋体" w:eastAsia="宋体"/>
        </w:rPr>
        <w:t>SL 492  水利水电工程环境保护设计规范</w:t>
      </w:r>
    </w:p>
    <w:p w14:paraId="6918BED0">
      <w:pPr>
        <w:rPr>
          <w:rFonts w:ascii="宋体" w:hAnsi="宋体" w:eastAsia="宋体"/>
        </w:rPr>
      </w:pPr>
      <w:r>
        <mc:AlternateContent>
          <mc:Choice Requires="wps">
            <w:drawing>
              <wp:anchor distT="0" distB="0" distL="114300" distR="114300" simplePos="0" relativeHeight="251661312" behindDoc="0" locked="0" layoutInCell="1" allowOverlap="1">
                <wp:simplePos x="0" y="0"/>
                <wp:positionH relativeFrom="column">
                  <wp:posOffset>1743710</wp:posOffset>
                </wp:positionH>
                <wp:positionV relativeFrom="paragraph">
                  <wp:posOffset>322580</wp:posOffset>
                </wp:positionV>
                <wp:extent cx="1752600" cy="0"/>
                <wp:effectExtent l="0" t="0" r="19050" b="19050"/>
                <wp:wrapNone/>
                <wp:docPr id="6" name="直接连接符 6"/>
                <wp:cNvGraphicFramePr/>
                <a:graphic xmlns:a="http://schemas.openxmlformats.org/drawingml/2006/main">
                  <a:graphicData uri="http://schemas.microsoft.com/office/word/2010/wordprocessingShape">
                    <wps:wsp>
                      <wps:cNvCnPr/>
                      <wps:spPr>
                        <a:xfrm>
                          <a:off x="0" y="0"/>
                          <a:ext cx="1752600" cy="0"/>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37.3pt;margin-top:25.4pt;height:0pt;width:138pt;z-index:251661312;mso-width-relative:page;mso-height-relative:page;" filled="f" stroked="t" coordsize="21600,21600" o:gfxdata="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CozWznXAAAACQEA&#10;AA8AAAAAAAAAAQAgAAAAIgAAAGRycy9kb3ducmV2LnhtbFBLAQIUABQAAAAIAIdO4kDQItf34gEA&#10;ALIDAAAOAAAAAAAAAAEAIAAAACYBAABkcnMvZTJvRG9jLnhtbFBLBQYAAAAABgAGAFkBAAB6BQAA&#10;AAA=&#10;">
                <v:fill on="f" focussize="0,0"/>
                <v:stroke weight="1.75pt" color="#000000 [3213]" miterlimit="8" joinstyle="miter"/>
                <v:imagedata o:title=""/>
                <o:lock v:ext="edit" aspectratio="f"/>
              </v:line>
            </w:pict>
          </mc:Fallback>
        </mc:AlternateContent>
      </w: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E1BEE">
    <w:pPr>
      <w:pStyle w:val="6"/>
      <w:jc w:val="center"/>
    </w:pPr>
  </w:p>
  <w:p w14:paraId="094B39F2">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BD54C">
    <w:pPr>
      <w:pStyle w:val="6"/>
    </w:pPr>
    <w:r>
      <w:fldChar w:fldCharType="begin"/>
    </w:r>
    <w:r>
      <w:instrText xml:space="preserve">PAGE   \* MERGEFORMAT</w:instrText>
    </w:r>
    <w:r>
      <w:fldChar w:fldCharType="separate"/>
    </w:r>
    <w:r>
      <w:rPr>
        <w:lang w:val="zh-CN"/>
      </w:rPr>
      <w:t>II</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52036978"/>
      <w:docPartObj>
        <w:docPartGallery w:val="autotext"/>
      </w:docPartObj>
    </w:sdtPr>
    <w:sdtContent>
      <w:p w14:paraId="16BF92CC">
        <w:pPr>
          <w:pStyle w:val="6"/>
          <w:jc w:val="center"/>
        </w:pPr>
        <w:r>
          <w:fldChar w:fldCharType="begin"/>
        </w:r>
        <w:r>
          <w:instrText xml:space="preserve">PAGE   \* MERGEFORMAT</w:instrText>
        </w:r>
        <w:r>
          <w:fldChar w:fldCharType="separate"/>
        </w:r>
        <w:r>
          <w:rPr>
            <w:lang w:val="zh-CN"/>
          </w:rPr>
          <w:t>3</w:t>
        </w:r>
        <w:r>
          <w:fldChar w:fldCharType="end"/>
        </w:r>
      </w:p>
    </w:sdtContent>
  </w:sdt>
  <w:p w14:paraId="6789F01C">
    <w:pPr>
      <w:pStyle w:val="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32431">
    <w:pPr>
      <w:pStyle w:val="6"/>
      <w:framePr w:wrap="around" w:vAnchor="text" w:hAnchor="margin" w:xAlign="right" w:y="1"/>
      <w:rPr>
        <w:rStyle w:val="13"/>
      </w:rPr>
    </w:pPr>
    <w:r>
      <w:fldChar w:fldCharType="begin"/>
    </w:r>
    <w:r>
      <w:rPr>
        <w:rStyle w:val="13"/>
      </w:rPr>
      <w:instrText xml:space="preserve">PAGE  </w:instrText>
    </w:r>
    <w:r>
      <w:fldChar w:fldCharType="separate"/>
    </w:r>
    <w:r>
      <w:rPr>
        <w:rStyle w:val="13"/>
      </w:rPr>
      <w:t>II</w:t>
    </w:r>
    <w:r>
      <w:fldChar w:fldCharType="end"/>
    </w:r>
  </w:p>
  <w:p w14:paraId="3E4C5545">
    <w:pPr>
      <w:pStyle w:val="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2DF6BD">
    <w:pPr>
      <w:ind w:right="-2"/>
      <w:jc w:val="left"/>
    </w:pPr>
    <w:r>
      <w:rPr>
        <w:rFonts w:eastAsia="黑体"/>
        <w:szCs w:val="28"/>
      </w:rPr>
      <w:t>T/CTAA XXXX-202X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9828A2"/>
    <w:multiLevelType w:val="multilevel"/>
    <w:tmpl w:val="1C9828A2"/>
    <w:lvl w:ilvl="0" w:tentative="0">
      <w:start w:val="1"/>
      <w:numFmt w:val="lowerLetter"/>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32F05BF"/>
    <w:multiLevelType w:val="multilevel"/>
    <w:tmpl w:val="232F05BF"/>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5A13548A"/>
    <w:multiLevelType w:val="multilevel"/>
    <w:tmpl w:val="5A13548A"/>
    <w:lvl w:ilvl="0" w:tentative="0">
      <w:start w:val="1"/>
      <w:numFmt w:val="lowerLetter"/>
      <w:lvlText w:val="%1)"/>
      <w:lvlJc w:val="left"/>
      <w:pPr>
        <w:ind w:left="844" w:hanging="420"/>
      </w:pPr>
    </w:lvl>
    <w:lvl w:ilvl="1" w:tentative="0">
      <w:start w:val="1"/>
      <w:numFmt w:val="lowerLetter"/>
      <w:lvlText w:val="%2)"/>
      <w:lvlJc w:val="left"/>
      <w:pPr>
        <w:ind w:left="1264" w:hanging="420"/>
      </w:pPr>
    </w:lvl>
    <w:lvl w:ilvl="2" w:tentative="0">
      <w:start w:val="1"/>
      <w:numFmt w:val="lowerRoman"/>
      <w:lvlText w:val="%3."/>
      <w:lvlJc w:val="right"/>
      <w:pPr>
        <w:ind w:left="1684" w:hanging="420"/>
      </w:pPr>
    </w:lvl>
    <w:lvl w:ilvl="3" w:tentative="0">
      <w:start w:val="1"/>
      <w:numFmt w:val="decimal"/>
      <w:lvlText w:val="%4."/>
      <w:lvlJc w:val="left"/>
      <w:pPr>
        <w:ind w:left="2104" w:hanging="420"/>
      </w:pPr>
    </w:lvl>
    <w:lvl w:ilvl="4" w:tentative="0">
      <w:start w:val="1"/>
      <w:numFmt w:val="lowerLetter"/>
      <w:lvlText w:val="%5)"/>
      <w:lvlJc w:val="left"/>
      <w:pPr>
        <w:ind w:left="2524" w:hanging="420"/>
      </w:pPr>
    </w:lvl>
    <w:lvl w:ilvl="5" w:tentative="0">
      <w:start w:val="1"/>
      <w:numFmt w:val="lowerRoman"/>
      <w:lvlText w:val="%6."/>
      <w:lvlJc w:val="right"/>
      <w:pPr>
        <w:ind w:left="2944" w:hanging="420"/>
      </w:pPr>
    </w:lvl>
    <w:lvl w:ilvl="6" w:tentative="0">
      <w:start w:val="1"/>
      <w:numFmt w:val="decimal"/>
      <w:lvlText w:val="%7."/>
      <w:lvlJc w:val="left"/>
      <w:pPr>
        <w:ind w:left="3364" w:hanging="420"/>
      </w:pPr>
    </w:lvl>
    <w:lvl w:ilvl="7" w:tentative="0">
      <w:start w:val="1"/>
      <w:numFmt w:val="lowerLetter"/>
      <w:lvlText w:val="%8)"/>
      <w:lvlJc w:val="left"/>
      <w:pPr>
        <w:ind w:left="3784" w:hanging="420"/>
      </w:pPr>
    </w:lvl>
    <w:lvl w:ilvl="8" w:tentative="0">
      <w:start w:val="1"/>
      <w:numFmt w:val="lowerRoman"/>
      <w:lvlText w:val="%9."/>
      <w:lvlJc w:val="right"/>
      <w:pPr>
        <w:ind w:left="4204"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Q0NDJkNGFkZWU3NDc2NTg2ZWM3NDdlNTJlZjI4OTcifQ=="/>
  </w:docVars>
  <w:rsids>
    <w:rsidRoot w:val="00CF1B01"/>
    <w:rsid w:val="00026976"/>
    <w:rsid w:val="000D2429"/>
    <w:rsid w:val="001304AF"/>
    <w:rsid w:val="0015733D"/>
    <w:rsid w:val="00183760"/>
    <w:rsid w:val="00187012"/>
    <w:rsid w:val="001C79D9"/>
    <w:rsid w:val="00201BD6"/>
    <w:rsid w:val="0028495B"/>
    <w:rsid w:val="0028640E"/>
    <w:rsid w:val="002F1CCD"/>
    <w:rsid w:val="00343E51"/>
    <w:rsid w:val="003521E7"/>
    <w:rsid w:val="00367ED1"/>
    <w:rsid w:val="003E7FA9"/>
    <w:rsid w:val="00445597"/>
    <w:rsid w:val="00485081"/>
    <w:rsid w:val="004D090D"/>
    <w:rsid w:val="00515645"/>
    <w:rsid w:val="005765DD"/>
    <w:rsid w:val="00602AAD"/>
    <w:rsid w:val="006468ED"/>
    <w:rsid w:val="006B2AF2"/>
    <w:rsid w:val="006C3855"/>
    <w:rsid w:val="0070611B"/>
    <w:rsid w:val="00762641"/>
    <w:rsid w:val="007D4384"/>
    <w:rsid w:val="008238F6"/>
    <w:rsid w:val="008602E3"/>
    <w:rsid w:val="00877542"/>
    <w:rsid w:val="0088669C"/>
    <w:rsid w:val="008A3A09"/>
    <w:rsid w:val="008C2DFF"/>
    <w:rsid w:val="008C6B02"/>
    <w:rsid w:val="0090348B"/>
    <w:rsid w:val="00934CC2"/>
    <w:rsid w:val="0095337E"/>
    <w:rsid w:val="009543ED"/>
    <w:rsid w:val="0095750E"/>
    <w:rsid w:val="009664FE"/>
    <w:rsid w:val="009B2192"/>
    <w:rsid w:val="009C0E2B"/>
    <w:rsid w:val="009C6489"/>
    <w:rsid w:val="00A107CA"/>
    <w:rsid w:val="00A16B46"/>
    <w:rsid w:val="00AB148F"/>
    <w:rsid w:val="00AC3A24"/>
    <w:rsid w:val="00B01B6A"/>
    <w:rsid w:val="00B05732"/>
    <w:rsid w:val="00B42CB9"/>
    <w:rsid w:val="00B44E5F"/>
    <w:rsid w:val="00B56178"/>
    <w:rsid w:val="00B615A2"/>
    <w:rsid w:val="00B76CBF"/>
    <w:rsid w:val="00B8352F"/>
    <w:rsid w:val="00B84A89"/>
    <w:rsid w:val="00B87157"/>
    <w:rsid w:val="00B92338"/>
    <w:rsid w:val="00BE0742"/>
    <w:rsid w:val="00BF5382"/>
    <w:rsid w:val="00C11532"/>
    <w:rsid w:val="00C47D50"/>
    <w:rsid w:val="00CA74DE"/>
    <w:rsid w:val="00CE3B42"/>
    <w:rsid w:val="00CF1B01"/>
    <w:rsid w:val="00CF3E82"/>
    <w:rsid w:val="00D03343"/>
    <w:rsid w:val="00D03A7B"/>
    <w:rsid w:val="00D34284"/>
    <w:rsid w:val="00D4425A"/>
    <w:rsid w:val="00D53970"/>
    <w:rsid w:val="00D627FF"/>
    <w:rsid w:val="00DC081F"/>
    <w:rsid w:val="00DC4999"/>
    <w:rsid w:val="00DC4BD0"/>
    <w:rsid w:val="00DC57FB"/>
    <w:rsid w:val="00DF009D"/>
    <w:rsid w:val="00DF62D2"/>
    <w:rsid w:val="00E00ABA"/>
    <w:rsid w:val="00E35C27"/>
    <w:rsid w:val="00E47639"/>
    <w:rsid w:val="00E53624"/>
    <w:rsid w:val="00E55C9F"/>
    <w:rsid w:val="00E85C45"/>
    <w:rsid w:val="00EB3A65"/>
    <w:rsid w:val="00EB50D6"/>
    <w:rsid w:val="00ED4735"/>
    <w:rsid w:val="00ED6C71"/>
    <w:rsid w:val="00F2598F"/>
    <w:rsid w:val="00F343D9"/>
    <w:rsid w:val="00F36521"/>
    <w:rsid w:val="00F7716D"/>
    <w:rsid w:val="00F8124C"/>
    <w:rsid w:val="00F91251"/>
    <w:rsid w:val="00FF1805"/>
    <w:rsid w:val="0EE03304"/>
    <w:rsid w:val="413902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6"/>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8"/>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2">
    <w:name w:val="Default Paragraph Font"/>
    <w:semiHidden/>
    <w:unhideWhenUsed/>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4">
    <w:name w:val="Plain Text"/>
    <w:basedOn w:val="1"/>
    <w:link w:val="21"/>
    <w:qFormat/>
    <w:uiPriority w:val="0"/>
    <w:pPr>
      <w:spacing w:line="360" w:lineRule="auto"/>
    </w:pPr>
    <w:rPr>
      <w:rFonts w:ascii="宋体" w:hAnsi="Courier New" w:eastAsia="宋体" w:cs="黑体"/>
    </w:rPr>
  </w:style>
  <w:style w:type="paragraph" w:styleId="5">
    <w:name w:val="Date"/>
    <w:basedOn w:val="1"/>
    <w:next w:val="1"/>
    <w:link w:val="31"/>
    <w:autoRedefine/>
    <w:semiHidden/>
    <w:unhideWhenUsed/>
    <w:qFormat/>
    <w:uiPriority w:val="99"/>
    <w:pPr>
      <w:ind w:left="100" w:leftChars="2500"/>
    </w:pPr>
  </w:style>
  <w:style w:type="paragraph" w:styleId="6">
    <w:name w:val="footer"/>
    <w:basedOn w:val="1"/>
    <w:link w:val="19"/>
    <w:qFormat/>
    <w:uiPriority w:val="99"/>
    <w:pPr>
      <w:tabs>
        <w:tab w:val="center" w:pos="4153"/>
        <w:tab w:val="right" w:pos="8306"/>
      </w:tabs>
      <w:snapToGrid w:val="0"/>
      <w:jc w:val="left"/>
    </w:pPr>
    <w:rPr>
      <w:rFonts w:ascii="Times New Roman" w:hAnsi="Times New Roman" w:eastAsia="宋体" w:cs="Times New Roman"/>
      <w:sz w:val="18"/>
      <w:szCs w:val="18"/>
    </w:rPr>
  </w:style>
  <w:style w:type="paragraph" w:styleId="7">
    <w:name w:val="header"/>
    <w:basedOn w:val="1"/>
    <w:link w:val="29"/>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autoRedefine/>
    <w:unhideWhenUsed/>
    <w:qFormat/>
    <w:uiPriority w:val="39"/>
  </w:style>
  <w:style w:type="paragraph" w:styleId="9">
    <w:name w:val="toc 2"/>
    <w:basedOn w:val="1"/>
    <w:next w:val="1"/>
    <w:autoRedefine/>
    <w:unhideWhenUsed/>
    <w:qFormat/>
    <w:uiPriority w:val="39"/>
    <w:pPr>
      <w:ind w:left="420" w:leftChars="200"/>
    </w:pPr>
  </w:style>
  <w:style w:type="paragraph" w:styleId="10">
    <w:name w:val="Title"/>
    <w:basedOn w:val="1"/>
    <w:next w:val="1"/>
    <w:link w:val="17"/>
    <w:qFormat/>
    <w:uiPriority w:val="10"/>
    <w:pPr>
      <w:spacing w:before="240" w:after="60"/>
      <w:jc w:val="center"/>
      <w:outlineLvl w:val="0"/>
    </w:pPr>
    <w:rPr>
      <w:rFonts w:asciiTheme="majorHAnsi" w:hAnsiTheme="majorHAnsi" w:eastAsiaTheme="majorEastAsia" w:cstheme="majorBidi"/>
      <w:b/>
      <w:bCs/>
      <w:sz w:val="32"/>
      <w:szCs w:val="32"/>
    </w:rPr>
  </w:style>
  <w:style w:type="character" w:styleId="13">
    <w:name w:val="page number"/>
    <w:uiPriority w:val="0"/>
  </w:style>
  <w:style w:type="character" w:styleId="14">
    <w:name w:val="Emphasis"/>
    <w:basedOn w:val="12"/>
    <w:autoRedefine/>
    <w:qFormat/>
    <w:uiPriority w:val="20"/>
    <w:rPr>
      <w:i/>
      <w:iCs/>
    </w:rPr>
  </w:style>
  <w:style w:type="character" w:styleId="15">
    <w:name w:val="Hyperlink"/>
    <w:unhideWhenUsed/>
    <w:qFormat/>
    <w:uiPriority w:val="99"/>
    <w:rPr>
      <w:color w:val="0000FF"/>
      <w:u w:val="single"/>
    </w:rPr>
  </w:style>
  <w:style w:type="character" w:customStyle="1" w:styleId="16">
    <w:name w:val="标题 1 Char"/>
    <w:basedOn w:val="12"/>
    <w:link w:val="2"/>
    <w:uiPriority w:val="9"/>
    <w:rPr>
      <w:b/>
      <w:bCs/>
      <w:kern w:val="44"/>
      <w:sz w:val="44"/>
      <w:szCs w:val="44"/>
    </w:rPr>
  </w:style>
  <w:style w:type="character" w:customStyle="1" w:styleId="17">
    <w:name w:val="标题 Char"/>
    <w:basedOn w:val="12"/>
    <w:link w:val="10"/>
    <w:uiPriority w:val="10"/>
    <w:rPr>
      <w:rFonts w:asciiTheme="majorHAnsi" w:hAnsiTheme="majorHAnsi" w:eastAsiaTheme="majorEastAsia" w:cstheme="majorBidi"/>
      <w:b/>
      <w:bCs/>
      <w:sz w:val="32"/>
      <w:szCs w:val="32"/>
    </w:rPr>
  </w:style>
  <w:style w:type="character" w:customStyle="1" w:styleId="18">
    <w:name w:val="标题 2 Char"/>
    <w:basedOn w:val="12"/>
    <w:link w:val="3"/>
    <w:qFormat/>
    <w:uiPriority w:val="9"/>
    <w:rPr>
      <w:rFonts w:asciiTheme="majorHAnsi" w:hAnsiTheme="majorHAnsi" w:eastAsiaTheme="majorEastAsia" w:cstheme="majorBidi"/>
      <w:b/>
      <w:bCs/>
      <w:sz w:val="32"/>
      <w:szCs w:val="32"/>
    </w:rPr>
  </w:style>
  <w:style w:type="character" w:customStyle="1" w:styleId="19">
    <w:name w:val="页脚 Char"/>
    <w:basedOn w:val="12"/>
    <w:link w:val="6"/>
    <w:uiPriority w:val="99"/>
    <w:rPr>
      <w:rFonts w:ascii="Times New Roman" w:hAnsi="Times New Roman" w:eastAsia="宋体" w:cs="Times New Roman"/>
      <w:sz w:val="18"/>
      <w:szCs w:val="18"/>
    </w:rPr>
  </w:style>
  <w:style w:type="character" w:customStyle="1" w:styleId="20">
    <w:name w:val="纯文本 字符"/>
    <w:basedOn w:val="12"/>
    <w:semiHidden/>
    <w:uiPriority w:val="99"/>
    <w:rPr>
      <w:rFonts w:hAnsi="Courier New" w:cs="Courier New" w:asciiTheme="minorEastAsia"/>
    </w:rPr>
  </w:style>
  <w:style w:type="character" w:customStyle="1" w:styleId="21">
    <w:name w:val="纯文本 Char"/>
    <w:link w:val="4"/>
    <w:uiPriority w:val="0"/>
    <w:rPr>
      <w:rFonts w:ascii="宋体" w:hAnsi="Courier New" w:eastAsia="宋体" w:cs="黑体"/>
    </w:rPr>
  </w:style>
  <w:style w:type="character" w:customStyle="1" w:styleId="22">
    <w:name w:val="页脚 字符"/>
    <w:qFormat/>
    <w:uiPriority w:val="99"/>
    <w:rPr>
      <w:sz w:val="18"/>
      <w:szCs w:val="18"/>
    </w:rPr>
  </w:style>
  <w:style w:type="paragraph" w:customStyle="1" w:styleId="23">
    <w:name w:val="封面标准号2"/>
    <w:qFormat/>
    <w:uiPriority w:val="0"/>
    <w:pPr>
      <w:spacing w:before="357" w:line="280" w:lineRule="exact"/>
      <w:jc w:val="right"/>
    </w:pPr>
    <w:rPr>
      <w:rFonts w:ascii="黑体" w:hAnsi="Times New Roman" w:eastAsia="黑体" w:cs="Times New Roman"/>
      <w:kern w:val="0"/>
      <w:sz w:val="28"/>
      <w:szCs w:val="28"/>
      <w:lang w:val="en-US" w:eastAsia="zh-CN" w:bidi="ar-SA"/>
    </w:rPr>
  </w:style>
  <w:style w:type="paragraph" w:customStyle="1" w:styleId="24">
    <w:name w:val="封面标准英文名称"/>
    <w:basedOn w:val="1"/>
    <w:autoRedefine/>
    <w:qFormat/>
    <w:uiPriority w:val="0"/>
    <w:pPr>
      <w:spacing w:before="370" w:line="400" w:lineRule="exact"/>
      <w:jc w:val="center"/>
      <w:textAlignment w:val="center"/>
    </w:pPr>
    <w:rPr>
      <w:rFonts w:ascii="Times New Roman" w:hAnsi="Times New Roman" w:eastAsia="黑体" w:cs="Times New Roman"/>
      <w:kern w:val="0"/>
      <w:sz w:val="28"/>
      <w:szCs w:val="28"/>
    </w:rPr>
  </w:style>
  <w:style w:type="paragraph" w:customStyle="1" w:styleId="25">
    <w:name w:val="封面标准名称"/>
    <w:autoRedefine/>
    <w:qFormat/>
    <w:uiPriority w:val="0"/>
    <w:pPr>
      <w:widowControl w:val="0"/>
      <w:spacing w:line="680" w:lineRule="exact"/>
      <w:jc w:val="center"/>
      <w:textAlignment w:val="center"/>
    </w:pPr>
    <w:rPr>
      <w:rFonts w:ascii="黑体" w:hAnsi="Times New Roman" w:eastAsia="黑体" w:cs="Times New Roman"/>
      <w:kern w:val="0"/>
      <w:sz w:val="52"/>
      <w:szCs w:val="20"/>
      <w:lang w:val="en-US" w:eastAsia="zh-CN" w:bidi="ar-SA"/>
    </w:rPr>
  </w:style>
  <w:style w:type="paragraph" w:customStyle="1" w:styleId="26">
    <w:name w:val="其他发布日期"/>
    <w:basedOn w:val="1"/>
    <w:autoRedefine/>
    <w:qFormat/>
    <w:uiPriority w:val="0"/>
    <w:pPr>
      <w:widowControl/>
      <w:jc w:val="left"/>
    </w:pPr>
    <w:rPr>
      <w:rFonts w:ascii="Times New Roman" w:hAnsi="Times New Roman" w:eastAsia="黑体" w:cs="Times New Roman"/>
      <w:kern w:val="0"/>
      <w:sz w:val="28"/>
      <w:szCs w:val="20"/>
    </w:rPr>
  </w:style>
  <w:style w:type="paragraph" w:customStyle="1" w:styleId="27">
    <w:name w:val="_Style 21"/>
    <w:basedOn w:val="1"/>
    <w:next w:val="1"/>
    <w:autoRedefine/>
    <w:unhideWhenUsed/>
    <w:qFormat/>
    <w:uiPriority w:val="39"/>
    <w:pPr>
      <w:ind w:left="420" w:leftChars="200"/>
    </w:pPr>
    <w:rPr>
      <w:rFonts w:ascii="Times New Roman" w:hAnsi="宋体" w:eastAsia="宋体" w:cs="Times New Roman"/>
    </w:rPr>
  </w:style>
  <w:style w:type="paragraph" w:customStyle="1" w:styleId="28">
    <w:name w:val="TOC Heading"/>
    <w:basedOn w:val="2"/>
    <w:next w:val="1"/>
    <w:autoRedefine/>
    <w:qFormat/>
    <w:uiPriority w:val="39"/>
    <w:pPr>
      <w:widowControl/>
      <w:spacing w:before="240" w:after="0" w:line="259" w:lineRule="auto"/>
      <w:jc w:val="left"/>
      <w:outlineLvl w:val="9"/>
    </w:pPr>
    <w:rPr>
      <w:rFonts w:ascii="Calibri Light" w:hAnsi="Calibri Light" w:eastAsia="宋体" w:cs="Times New Roman"/>
      <w:b w:val="0"/>
      <w:bCs w:val="0"/>
      <w:color w:val="2E74B5"/>
      <w:kern w:val="0"/>
      <w:sz w:val="32"/>
      <w:szCs w:val="32"/>
    </w:rPr>
  </w:style>
  <w:style w:type="character" w:customStyle="1" w:styleId="29">
    <w:name w:val="页眉 Char"/>
    <w:basedOn w:val="12"/>
    <w:link w:val="7"/>
    <w:autoRedefine/>
    <w:qFormat/>
    <w:uiPriority w:val="99"/>
    <w:rPr>
      <w:sz w:val="18"/>
      <w:szCs w:val="18"/>
    </w:rPr>
  </w:style>
  <w:style w:type="paragraph" w:styleId="30">
    <w:name w:val="List Paragraph"/>
    <w:basedOn w:val="1"/>
    <w:autoRedefine/>
    <w:qFormat/>
    <w:uiPriority w:val="34"/>
    <w:pPr>
      <w:ind w:firstLine="420" w:firstLineChars="200"/>
    </w:pPr>
  </w:style>
  <w:style w:type="character" w:customStyle="1" w:styleId="31">
    <w:name w:val="日期 Char"/>
    <w:basedOn w:val="12"/>
    <w:link w:val="5"/>
    <w:autoRedefine/>
    <w:semiHidden/>
    <w:qFormat/>
    <w:uiPriority w:val="99"/>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B740A2-1B20-42B8-A716-1735F1E9ACBB}">
  <ds:schemaRefs/>
</ds:datastoreItem>
</file>

<file path=docProps/app.xml><?xml version="1.0" encoding="utf-8"?>
<Properties xmlns="http://schemas.openxmlformats.org/officeDocument/2006/extended-properties" xmlns:vt="http://schemas.openxmlformats.org/officeDocument/2006/docPropsVTypes">
  <Template>Normal</Template>
  <Company>中国水利水电科学研究院</Company>
  <Pages>7</Pages>
  <Words>90</Words>
  <Characters>175</Characters>
  <Lines>21</Lines>
  <Paragraphs>6</Paragraphs>
  <TotalTime>406</TotalTime>
  <ScaleCrop>false</ScaleCrop>
  <LinksUpToDate>false</LinksUpToDate>
  <CharactersWithSpaces>358</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2025-02-14T07:15:00Z</dcterms:created>
  <dc:creator>4</dc:creator>
  <cp:lastModifiedBy>薛飞</cp:lastModifiedBy>
  <dcterms:modified xsi:type="dcterms:W3CDTF">2025-03-04T02:13:39Z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B5D89064A470461B863BCB896D2D36F3_13</vt:lpwstr>
  </property>
  <property fmtid="{D5CDD505-2E9C-101B-9397-08002B2CF9AE}" pid="4" name="KSOTemplateDocerSaveRecord">
    <vt:lpwstr>eyJoZGlkIjoiZjg3MzQ1ODEyYTExNmVlZWQ4NWYzNmQzODRkMmQ4YmIiLCJ1c2VySWQiOiI5NTk2ODI5NzQifQ==</vt:lpwstr>
  </property>
</Properties>
</file>