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1"/>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2E0FF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3C3E0362">
            <w:pPr>
              <w:pStyle w:val="20"/>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20A1F29E">
            <w:pPr>
              <w:pStyle w:val="20"/>
              <w:framePr w:wrap="notBeside" w:vAnchor="page" w:hAnchor="page" w:x="1372" w:y="568"/>
              <w:tabs>
                <w:tab w:val="clear" w:pos="4153"/>
                <w:tab w:val="clear" w:pos="8306"/>
              </w:tabs>
              <w:spacing w:line="240" w:lineRule="auto"/>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点击此处添加ICS号</w:t>
            </w:r>
            <w:r>
              <w:rPr>
                <w:rFonts w:ascii="黑体" w:hAnsi="黑体" w:eastAsia="黑体"/>
                <w:sz w:val="21"/>
                <w:szCs w:val="21"/>
              </w:rPr>
              <w:fldChar w:fldCharType="end"/>
            </w:r>
            <w:bookmarkEnd w:id="0"/>
          </w:p>
        </w:tc>
      </w:tr>
      <w:tr w14:paraId="7276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07AD293D">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tbl>
            <w:tblPr>
              <w:tblStyle w:val="31"/>
              <w:tblpPr w:vertAnchor="page" w:horzAnchor="margin" w:tblpX="1" w:tblpY="341"/>
              <w:tblOverlap w:val="never"/>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113" w:type="dxa"/>
              </w:tblCellMar>
            </w:tblPr>
            <w:tblGrid>
              <w:gridCol w:w="9242"/>
            </w:tblGrid>
            <w:tr w14:paraId="395F612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113" w:type="dxa"/>
                </w:tblCellMar>
              </w:tblPrEx>
              <w:trPr>
                <w:trHeight w:val="1021" w:hRule="exact"/>
              </w:trPr>
              <w:tc>
                <w:tcPr>
                  <w:tcW w:w="9242" w:type="dxa"/>
                  <w:vAlign w:val="center"/>
                </w:tcPr>
                <w:p w14:paraId="6D3CF682">
                  <w:pPr>
                    <w:pStyle w:val="54"/>
                    <w:framePr w:wrap="notBeside" w:vAnchor="page" w:hAnchor="page" w:x="1372" w:y="568"/>
                    <w:ind w:left="420" w:right="624"/>
                    <w:rPr>
                      <w:rFonts w:ascii="宋体" w:hAnsi="宋体"/>
                      <w:sz w:val="28"/>
                      <w:szCs w:val="28"/>
                    </w:rPr>
                  </w:pPr>
                  <w:r>
                    <w:rPr>
                      <w:sz w:val="21"/>
                      <w:szCs w:val="21"/>
                    </w:rPr>
                    <w:t xml:space="preserve"> </w:t>
                  </w:r>
                </w:p>
              </w:tc>
            </w:tr>
          </w:tbl>
          <w:p w14:paraId="5ED5EFF9">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p w14:paraId="21E0B206">
      <w:pPr>
        <w:pStyle w:val="55"/>
        <w:framePr w:w="9639" w:h="1401" w:hRule="exact" w:hSpace="181" w:vSpace="181" w:wrap="around" w:hAnchor="page" w:x="1305" w:y="1481"/>
        <w:rPr>
          <w:rFonts w:ascii="黑体" w:hAnsi="黑体" w:eastAsia="黑体"/>
          <w:b w:val="0"/>
          <w:bCs w:val="0"/>
          <w:w w:val="100"/>
          <w:sz w:val="96"/>
          <w:szCs w:val="96"/>
        </w:rPr>
      </w:pPr>
      <w:bookmarkStart w:id="2" w:name="_Hlk26473981"/>
      <w:r>
        <w:rPr>
          <w:rFonts w:hint="eastAsia" w:ascii="黑体" w:eastAsia="黑体"/>
          <w:b w:val="0"/>
          <w:w w:val="100"/>
          <w:sz w:val="96"/>
          <w:szCs w:val="28"/>
        </w:rPr>
        <w:t>团体</w:t>
      </w:r>
      <w:r>
        <w:rPr>
          <w:rFonts w:hint="eastAsia" w:ascii="黑体" w:hAnsi="黑体" w:eastAsia="黑体"/>
          <w:b w:val="0"/>
          <w:bCs w:val="0"/>
          <w:w w:val="100"/>
          <w:sz w:val="96"/>
          <w:szCs w:val="96"/>
        </w:rPr>
        <w:t>标准</w:t>
      </w:r>
    </w:p>
    <w:bookmarkEnd w:id="2"/>
    <w:p w14:paraId="6E49257A">
      <w:pPr>
        <w:pStyle w:val="200"/>
      </w:pPr>
      <w:r>
        <w:t>T/</w:t>
      </w:r>
      <w:r>
        <w:fldChar w:fldCharType="begin">
          <w:ffData>
            <w:name w:val="文字1"/>
            <w:enabled/>
            <w:calcOnExit w:val="0"/>
            <w:textInput>
              <w:default w:val="COSOCC"/>
            </w:textInput>
          </w:ffData>
        </w:fldChar>
      </w:r>
      <w:bookmarkStart w:id="3" w:name="文字1"/>
      <w:r>
        <w:instrText xml:space="preserve"> FORMTEXT </w:instrText>
      </w:r>
      <w:r>
        <w:fldChar w:fldCharType="separate"/>
      </w:r>
      <w:r>
        <w:t>COSOCC</w:t>
      </w:r>
      <w:r>
        <w:fldChar w:fldCharType="end"/>
      </w:r>
      <w:bookmarkEnd w:id="3"/>
      <w:r>
        <w:t xml:space="preserve"> </w:t>
      </w:r>
      <w:r>
        <w:fldChar w:fldCharType="begin">
          <w:ffData>
            <w:name w:val="NSTD_CODE_F"/>
            <w:enabled/>
            <w:calcOnExit w:val="0"/>
            <w:textInput>
              <w:default w:val="XXXX"/>
            </w:textInput>
          </w:ffData>
        </w:fldChar>
      </w:r>
      <w:bookmarkStart w:id="4" w:name="NSTD_CODE_F"/>
      <w:r>
        <w:instrText xml:space="preserve"> FORMTEXT </w:instrText>
      </w:r>
      <w:r>
        <w:fldChar w:fldCharType="separate"/>
      </w:r>
      <w:r>
        <w:t>XXXX</w:t>
      </w:r>
      <w:r>
        <w:fldChar w:fldCharType="end"/>
      </w:r>
      <w:bookmarkEnd w:id="4"/>
      <w:r>
        <w:rPr>
          <w:rFonts w:hAnsi="黑体"/>
        </w:rPr>
        <w:t>—</w:t>
      </w:r>
      <w:r>
        <w:fldChar w:fldCharType="begin">
          <w:ffData>
            <w:name w:val="NSTD_CODE_B"/>
            <w:enabled/>
            <w:calcOnExit w:val="0"/>
            <w:textInput>
              <w:default w:val="XXXX"/>
            </w:textInput>
          </w:ffData>
        </w:fldChar>
      </w:r>
      <w:bookmarkStart w:id="5" w:name="NSTD_CODE_B"/>
      <w:r>
        <w:instrText xml:space="preserve"> FORMTEXT </w:instrText>
      </w:r>
      <w:r>
        <w:fldChar w:fldCharType="separate"/>
      </w:r>
      <w:r>
        <w:t>XXXX</w:t>
      </w:r>
      <w:r>
        <w:fldChar w:fldCharType="end"/>
      </w:r>
      <w:bookmarkEnd w:id="5"/>
    </w:p>
    <w:p w14:paraId="25E48657">
      <w:pPr>
        <w:pStyle w:val="201"/>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6"/>
    </w:p>
    <w:p w14:paraId="3B08865C">
      <w:pPr>
        <w:spacing w:line="240" w:lineRule="auto"/>
        <w:rPr>
          <w:rFonts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4BAEE4CF">
      <w:pPr>
        <w:pStyle w:val="55"/>
        <w:framePr w:w="9639" w:h="6976" w:hRule="exact" w:hSpace="0" w:vSpace="0" w:wrap="around" w:hAnchor="page" w:y="6408"/>
        <w:jc w:val="center"/>
        <w:rPr>
          <w:rFonts w:ascii="黑体" w:hAnsi="黑体" w:eastAsia="黑体"/>
          <w:b w:val="0"/>
          <w:bCs w:val="0"/>
          <w:w w:val="100"/>
        </w:rPr>
      </w:pPr>
    </w:p>
    <w:p w14:paraId="7311CC67">
      <w:pPr>
        <w:pStyle w:val="202"/>
        <w:framePr w:h="6974" w:hRule="exact" w:wrap="around" w:x="1419" w:anchorLock="1"/>
      </w:pPr>
      <w:bookmarkStart w:id="68" w:name="_GoBack"/>
      <w:bookmarkEnd w:id="68"/>
      <w:bookmarkStart w:id="7" w:name="CSTD_NAME"/>
      <w:r>
        <w:rPr>
          <w:rFonts w:hint="eastAsia" w:ascii="黑体" w:hAnsi="黑体" w:eastAsia="黑体" w:cs="Times New Roman"/>
          <w:bCs/>
          <w:sz w:val="52"/>
          <w:lang w:val="en-US" w:eastAsia="zh-CN" w:bidi="ar-SA"/>
        </w:rPr>
        <w:fldChar w:fldCharType="begin">
          <w:ffData>
            <w:name w:val="CSTD_NAME"/>
            <w:enabled/>
            <w:calcOnExit w:val="0"/>
            <w:textInput>
              <w:default w:val="高标准农田全周期智慧管护技术规程"/>
            </w:textInput>
          </w:ffData>
        </w:fldChar>
      </w:r>
      <w:r>
        <w:rPr>
          <w:rFonts w:hint="eastAsia" w:ascii="黑体" w:hAnsi="黑体" w:eastAsia="黑体" w:cs="Times New Roman"/>
          <w:bCs/>
          <w:sz w:val="52"/>
          <w:lang w:val="en-US" w:eastAsia="zh-CN" w:bidi="ar-SA"/>
        </w:rPr>
        <w:instrText xml:space="preserve">FORMTEXT</w:instrText>
      </w:r>
      <w:r>
        <w:rPr>
          <w:rFonts w:hint="eastAsia" w:ascii="黑体" w:hAnsi="黑体" w:eastAsia="黑体" w:cs="Times New Roman"/>
          <w:bCs/>
          <w:sz w:val="52"/>
          <w:lang w:val="en-US" w:eastAsia="zh-CN" w:bidi="ar-SA"/>
        </w:rPr>
        <w:fldChar w:fldCharType="separate"/>
      </w:r>
      <w:r>
        <w:rPr>
          <w:rFonts w:hint="eastAsia" w:cs="Times New Roman"/>
          <w:bCs/>
          <w:sz w:val="52"/>
          <w:lang w:val="en-US" w:eastAsia="zh-CN" w:bidi="ar-SA"/>
        </w:rPr>
        <w:t>高标准农田建设及运行管护技术规程</w:t>
      </w:r>
      <w:r>
        <w:rPr>
          <w:rFonts w:hint="eastAsia" w:ascii="黑体" w:hAnsi="黑体" w:eastAsia="黑体" w:cs="Times New Roman"/>
          <w:bCs/>
          <w:sz w:val="52"/>
          <w:lang w:val="en-US" w:eastAsia="zh-CN" w:bidi="ar-SA"/>
        </w:rPr>
        <w:fldChar w:fldCharType="end"/>
      </w:r>
      <w:bookmarkEnd w:id="7"/>
    </w:p>
    <w:p w14:paraId="29C6244D">
      <w:pPr>
        <w:framePr w:w="9639" w:h="6974" w:hRule="exact" w:wrap="around" w:vAnchor="page" w:hAnchor="page" w:x="1419" w:y="6408" w:anchorLock="1"/>
        <w:ind w:left="-1418"/>
      </w:pPr>
    </w:p>
    <w:p w14:paraId="4F521E77">
      <w:pPr>
        <w:pStyle w:val="130"/>
        <w:framePr w:w="9639" w:h="6974" w:hRule="exact" w:wrap="around" w:vAnchor="page" w:hAnchor="page" w:x="1419" w:y="6408" w:anchorLock="1"/>
        <w:textAlignment w:val="bottom"/>
        <w:rPr>
          <w:rFonts w:eastAsia="黑体"/>
          <w:szCs w:val="28"/>
        </w:rPr>
      </w:pPr>
      <w:r>
        <w:rPr>
          <w:rFonts w:hint="eastAsia" w:eastAsia="黑体"/>
          <w:szCs w:val="28"/>
        </w:rPr>
        <w:t>Technical specification for full-cycle intelligent operation, maintenance and protection of high standard farmland</w:t>
      </w:r>
    </w:p>
    <w:p w14:paraId="4D901D7C">
      <w:pPr>
        <w:framePr w:w="9639" w:h="6974" w:hRule="exact" w:wrap="around" w:vAnchor="page" w:hAnchor="page" w:x="1419" w:y="6408" w:anchorLock="1"/>
        <w:spacing w:line="760" w:lineRule="exact"/>
        <w:ind w:left="-1418"/>
      </w:pPr>
    </w:p>
    <w:p w14:paraId="1EEE7E17">
      <w:pPr>
        <w:pStyle w:val="130"/>
        <w:framePr w:w="9639" w:h="6974" w:hRule="exact" w:wrap="around" w:vAnchor="page" w:hAnchor="page" w:x="1419" w:y="6408" w:anchorLock="1"/>
        <w:textAlignment w:val="bottom"/>
        <w:rPr>
          <w:rFonts w:eastAsia="黑体"/>
          <w:szCs w:val="28"/>
        </w:rPr>
      </w:pPr>
    </w:p>
    <w:p w14:paraId="6248C2B5">
      <w:pPr>
        <w:pStyle w:val="130"/>
        <w:framePr w:w="9639" w:h="6974" w:hRule="exact" w:wrap="around" w:vAnchor="page" w:hAnchor="page" w:x="1419" w:y="6408" w:anchorLock="1"/>
        <w:spacing w:before="440" w:after="160"/>
        <w:textAlignment w:val="bottom"/>
        <w:rPr>
          <w:sz w:val="24"/>
          <w:szCs w:val="28"/>
        </w:rPr>
      </w:pPr>
      <w:r>
        <w:rPr>
          <w:rFonts w:hint="eastAsia"/>
          <w:sz w:val="24"/>
          <w:szCs w:val="28"/>
        </w:rPr>
        <w:t>征求意见稿</w:t>
      </w:r>
    </w:p>
    <w:p w14:paraId="7696EF11">
      <w:pPr>
        <w:pStyle w:val="130"/>
        <w:framePr w:w="9639" w:h="6974" w:hRule="exact" w:wrap="around" w:vAnchor="page" w:hAnchor="page" w:x="1419" w:y="6408" w:anchorLock="1"/>
        <w:spacing w:before="180" w:line="240" w:lineRule="atLeast"/>
        <w:textAlignment w:val="bottom"/>
        <w:rPr>
          <w:rFonts w:hint="default"/>
          <w:sz w:val="21"/>
          <w:szCs w:val="28"/>
          <w:lang w:val="en-US"/>
        </w:rPr>
      </w:pPr>
      <w:bookmarkStart w:id="8" w:name="CMPLSH_DATE"/>
      <w:r>
        <w:rPr>
          <w:rFonts w:hint="default" w:ascii="Times New Roman" w:hAnsi="Times New Roman" w:eastAsia="宋体" w:cs="Times New Roman"/>
          <w:sz w:val="21"/>
          <w:szCs w:val="28"/>
          <w:lang w:val="en-US" w:eastAsia="zh-CN" w:bidi="ar-SA"/>
        </w:rPr>
        <w:fldChar w:fldCharType="begin">
          <w:ffData>
            <w:name w:val="CMPLSH_DATE"/>
            <w:enabled/>
            <w:calcOnExit w:val="0"/>
            <w:textInput>
              <w:default w:val="完成时间：2025.9.11"/>
            </w:textInput>
          </w:ffData>
        </w:fldChar>
      </w:r>
      <w:r>
        <w:rPr>
          <w:rFonts w:hint="default" w:ascii="Times New Roman" w:hAnsi="Times New Roman" w:eastAsia="宋体" w:cs="Times New Roman"/>
          <w:sz w:val="21"/>
          <w:szCs w:val="28"/>
          <w:lang w:val="en-US" w:eastAsia="zh-CN" w:bidi="ar-SA"/>
        </w:rPr>
        <w:instrText xml:space="preserve">FORMTEXT</w:instrText>
      </w:r>
      <w:r>
        <w:rPr>
          <w:rFonts w:hint="default" w:ascii="Times New Roman" w:hAnsi="Times New Roman" w:eastAsia="宋体" w:cs="Times New Roman"/>
          <w:sz w:val="21"/>
          <w:szCs w:val="28"/>
          <w:lang w:val="en-US" w:eastAsia="zh-CN" w:bidi="ar-SA"/>
        </w:rPr>
        <w:fldChar w:fldCharType="separate"/>
      </w:r>
      <w:r>
        <w:rPr>
          <w:rFonts w:hint="default" w:ascii="Times New Roman" w:hAnsi="Times New Roman" w:eastAsia="宋体" w:cs="Times New Roman"/>
          <w:sz w:val="21"/>
          <w:szCs w:val="28"/>
          <w:lang w:val="en-US" w:eastAsia="zh-CN" w:bidi="ar-SA"/>
        </w:rPr>
        <w:t>完成时间：2025.9.11</w:t>
      </w:r>
      <w:r>
        <w:rPr>
          <w:rFonts w:hint="default" w:ascii="Times New Roman" w:hAnsi="Times New Roman" w:eastAsia="宋体" w:cs="Times New Roman"/>
          <w:sz w:val="21"/>
          <w:szCs w:val="28"/>
          <w:lang w:val="en-US" w:eastAsia="zh-CN" w:bidi="ar-SA"/>
        </w:rPr>
        <w:fldChar w:fldCharType="end"/>
      </w:r>
      <w:bookmarkEnd w:id="8"/>
    </w:p>
    <w:p w14:paraId="18A8A61B">
      <w:pPr>
        <w:pStyle w:val="130"/>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9" w:name="下拉2"/>
      <w:r>
        <w:rPr>
          <w:b/>
          <w:sz w:val="21"/>
          <w:szCs w:val="28"/>
        </w:rPr>
        <w:instrText xml:space="preserve"> FORMDROPDOWN </w:instrText>
      </w:r>
      <w:r>
        <w:rPr>
          <w:b/>
          <w:sz w:val="21"/>
          <w:szCs w:val="28"/>
        </w:rPr>
        <w:fldChar w:fldCharType="separate"/>
      </w:r>
      <w:r>
        <w:rPr>
          <w:b/>
          <w:sz w:val="21"/>
          <w:szCs w:val="28"/>
        </w:rPr>
        <w:fldChar w:fldCharType="end"/>
      </w:r>
      <w:bookmarkEnd w:id="9"/>
    </w:p>
    <w:p w14:paraId="0A2BC174">
      <w:pPr>
        <w:pStyle w:val="198"/>
        <w:framePr w:wrap="around" w:y="14176"/>
      </w:pPr>
      <w:r>
        <w:rPr>
          <w:rFonts w:ascii="黑体"/>
        </w:rPr>
        <w:fldChar w:fldCharType="begin">
          <w:ffData>
            <w:name w:val="PLSH_DATE_Y"/>
            <w:enabled/>
            <w:calcOnExit w:val="0"/>
            <w:textInput>
              <w:default w:val="XXXX"/>
              <w:maxLength w:val="4"/>
            </w:textInput>
          </w:ffData>
        </w:fldChar>
      </w:r>
      <w:bookmarkStart w:id="10"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0"/>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1"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1"/>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2"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2"/>
      <w:r>
        <w:rPr>
          <w:rFonts w:hint="eastAsia"/>
        </w:rPr>
        <w:t>发布</w:t>
      </w:r>
    </w:p>
    <w:p w14:paraId="3BDAED49">
      <w:pPr>
        <w:pStyle w:val="199"/>
        <w:framePr w:wrap="around" w:y="14176"/>
      </w:pPr>
      <w:r>
        <w:rPr>
          <w:rFonts w:ascii="黑体"/>
        </w:rPr>
        <w:fldChar w:fldCharType="begin">
          <w:ffData>
            <w:name w:val="CROT_DATE_Y"/>
            <w:enabled/>
            <w:calcOnExit w:val="0"/>
            <w:textInput>
              <w:default w:val="XXXX"/>
              <w:maxLength w:val="4"/>
            </w:textInput>
          </w:ffData>
        </w:fldChar>
      </w:r>
      <w:bookmarkStart w:id="13"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3"/>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4"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5"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rPr>
          <w:rFonts w:hint="eastAsia"/>
        </w:rPr>
        <w:t>实施</w:t>
      </w:r>
    </w:p>
    <w:p w14:paraId="504F8844">
      <w:pPr>
        <w:pStyle w:val="156"/>
        <w:framePr w:h="584" w:hRule="exact" w:hSpace="181" w:vSpace="181" w:wrap="around" w:y="14800"/>
        <w:rPr>
          <w:rFonts w:hAnsi="黑体"/>
        </w:rPr>
      </w:pPr>
      <w:r>
        <w:rPr>
          <w:rFonts w:hint="eastAsia" w:hAnsi="黑体"/>
          <w:w w:val="100"/>
          <w:sz w:val="28"/>
        </w:rPr>
        <w:fldChar w:fldCharType="begin">
          <w:ffData>
            <w:name w:val="fm"/>
            <w:enabled/>
            <w:calcOnExit w:val="0"/>
            <w:textInput>
              <w:default w:val="中国基本建设优化研究会"/>
            </w:textInput>
          </w:ffData>
        </w:fldChar>
      </w:r>
      <w:bookmarkStart w:id="16" w:name="fm"/>
      <w:r>
        <w:rPr>
          <w:rFonts w:hint="eastAsia" w:hAnsi="黑体"/>
          <w:w w:val="100"/>
          <w:sz w:val="28"/>
        </w:rPr>
        <w:instrText xml:space="preserve"> </w:instrText>
      </w:r>
      <w:r>
        <w:rPr>
          <w:rFonts w:hAnsi="黑体"/>
          <w:w w:val="100"/>
          <w:sz w:val="28"/>
        </w:rPr>
        <w:instrText xml:space="preserve">FORMTEXT</w:instrText>
      </w:r>
      <w:r>
        <w:rPr>
          <w:rFonts w:hint="eastAsia" w:hAnsi="黑体"/>
          <w:w w:val="100"/>
          <w:sz w:val="28"/>
        </w:rPr>
        <w:instrText xml:space="preserve"> </w:instrText>
      </w:r>
      <w:r>
        <w:rPr>
          <w:rFonts w:hint="eastAsia" w:hAnsi="黑体"/>
          <w:w w:val="100"/>
          <w:sz w:val="28"/>
        </w:rPr>
        <w:fldChar w:fldCharType="separate"/>
      </w:r>
      <w:r>
        <w:rPr>
          <w:rFonts w:hint="eastAsia" w:hAnsi="黑体"/>
          <w:w w:val="100"/>
          <w:sz w:val="28"/>
        </w:rPr>
        <w:t>中国基本建设优化研究会</w:t>
      </w:r>
      <w:r>
        <w:rPr>
          <w:rFonts w:hint="eastAsia" w:hAnsi="黑体"/>
          <w:w w:val="100"/>
          <w:sz w:val="28"/>
        </w:rPr>
        <w:fldChar w:fldCharType="end"/>
      </w:r>
      <w:bookmarkEnd w:id="16"/>
      <w:r>
        <w:rPr>
          <w:rFonts w:ascii="Times New Roman"/>
          <w:w w:val="100"/>
          <w:sz w:val="28"/>
        </w:rPr>
        <w:t>  </w:t>
      </w:r>
      <w:r>
        <w:rPr>
          <w:rStyle w:val="234"/>
          <w:rFonts w:hint="eastAsia" w:hAnsi="黑体"/>
          <w:position w:val="0"/>
        </w:rPr>
        <w:t>发</w:t>
      </w:r>
      <w:r>
        <w:rPr>
          <w:rStyle w:val="234"/>
          <w:rFonts w:hint="eastAsia" w:hAnsi="黑体"/>
          <w:spacing w:val="0"/>
          <w:position w:val="0"/>
        </w:rPr>
        <w:t>布</w:t>
      </w:r>
    </w:p>
    <w:p w14:paraId="0AD344C6">
      <w:pPr>
        <w:rPr>
          <w:rFonts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134"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1312"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1312;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34D67F76">
      <w:pPr>
        <w:adjustRightInd/>
        <w:spacing w:line="240" w:lineRule="auto"/>
        <w:jc w:val="center"/>
        <w:rPr>
          <w:rFonts w:hint="default" w:ascii="Times New Roman" w:hAnsi="Times New Roman" w:eastAsia="宋体" w:cs="Times New Roman"/>
          <w:sz w:val="32"/>
          <w:szCs w:val="32"/>
        </w:rPr>
      </w:pPr>
      <w:bookmarkStart w:id="17" w:name="BookMark1"/>
      <w:bookmarkStart w:id="18" w:name="_Toc5963"/>
      <w:r>
        <w:rPr>
          <w:rFonts w:hint="default" w:ascii="Times New Roman" w:hAnsi="Times New Roman" w:eastAsia="宋体" w:cs="Times New Roman"/>
          <w:sz w:val="32"/>
          <w:szCs w:val="32"/>
        </w:rPr>
        <w:t>目  次</w:t>
      </w:r>
    </w:p>
    <w:p w14:paraId="238BE21B">
      <w:pPr>
        <w:adjustRightInd/>
        <w:spacing w:line="240" w:lineRule="auto"/>
        <w:rPr>
          <w:rFonts w:hint="default" w:ascii="Times New Roman" w:hAnsi="Times New Roman" w:eastAsia="宋体" w:cs="Times New Roman"/>
          <w:szCs w:val="24"/>
        </w:rPr>
      </w:pPr>
    </w:p>
    <w:p w14:paraId="7D9CDEFB">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TOC \o "1-3" \u </w:instrText>
      </w:r>
      <w:r>
        <w:rPr>
          <w:rFonts w:hint="default" w:ascii="Times New Roman" w:hAnsi="Times New Roman" w:eastAsia="宋体" w:cs="Times New Roman"/>
        </w:rPr>
        <w:fldChar w:fldCharType="separate"/>
      </w:r>
      <w:r>
        <w:rPr>
          <w:rFonts w:hint="default" w:ascii="Times New Roman" w:hAnsi="Times New Roman" w:eastAsia="宋体" w:cs="Times New Roman"/>
          <w:b/>
          <w:bCs/>
          <w:spacing w:val="320"/>
        </w:rPr>
        <w:t>前</w:t>
      </w:r>
      <w:r>
        <w:rPr>
          <w:rFonts w:hint="default" w:ascii="Times New Roman" w:hAnsi="Times New Roman" w:eastAsia="宋体" w:cs="Times New Roman"/>
          <w:b/>
          <w:bCs/>
        </w:rPr>
        <w:t>言</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_Toc32352 \h </w:instrText>
      </w:r>
      <w:r>
        <w:rPr>
          <w:rFonts w:hint="default" w:ascii="Times New Roman" w:hAnsi="Times New Roman" w:eastAsia="宋体" w:cs="Times New Roman"/>
        </w:rPr>
        <w:fldChar w:fldCharType="separate"/>
      </w:r>
      <w:r>
        <w:rPr>
          <w:rFonts w:hint="default" w:ascii="Times New Roman" w:hAnsi="Times New Roman" w:eastAsia="宋体" w:cs="Times New Roman"/>
        </w:rPr>
        <w:t>II</w:t>
      </w:r>
      <w:r>
        <w:rPr>
          <w:rFonts w:hint="default" w:ascii="Times New Roman" w:hAnsi="Times New Roman" w:eastAsia="宋体" w:cs="Times New Roman"/>
        </w:rPr>
        <w:fldChar w:fldCharType="end"/>
      </w:r>
    </w:p>
    <w:p w14:paraId="54759099">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1 范围</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_Toc6198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24CD911E">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2 规范性引用文件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_Toc21024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5A861A29">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 xml:space="preserve">3 </w:t>
      </w:r>
      <w:r>
        <w:rPr>
          <w:rFonts w:hint="default" w:ascii="Times New Roman" w:hAnsi="Times New Roman" w:eastAsia="宋体" w:cs="Times New Roman"/>
          <w:b/>
          <w:bCs/>
          <w:kern w:val="44"/>
          <w:highlight w:val="none"/>
          <w:lang w:val="en-US" w:eastAsia="zh-CN"/>
        </w:rPr>
        <w:t>术语</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_Toc8530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2BAA5D18">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4 总体要求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_Toc17245 \h </w:instrText>
      </w:r>
      <w:r>
        <w:rPr>
          <w:rFonts w:hint="default" w:ascii="Times New Roman" w:hAnsi="Times New Roman" w:eastAsia="宋体" w:cs="Times New Roman"/>
        </w:rPr>
        <w:fldChar w:fldCharType="separate"/>
      </w:r>
      <w:r>
        <w:rPr>
          <w:rFonts w:hint="default" w:ascii="Times New Roman" w:hAnsi="Times New Roman" w:eastAsia="宋体" w:cs="Times New Roman"/>
        </w:rPr>
        <w:t>2</w:t>
      </w:r>
      <w:r>
        <w:rPr>
          <w:rFonts w:hint="default" w:ascii="Times New Roman" w:hAnsi="Times New Roman" w:eastAsia="宋体" w:cs="Times New Roman"/>
        </w:rPr>
        <w:fldChar w:fldCharType="end"/>
      </w:r>
    </w:p>
    <w:p w14:paraId="14EFDD3E">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4.1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lang w:val="en-US" w:eastAsia="zh-CN"/>
        </w:rPr>
        <w:t>原则</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_Toc23298 \h </w:instrText>
      </w:r>
      <w:r>
        <w:rPr>
          <w:rFonts w:hint="default" w:ascii="Times New Roman" w:hAnsi="Times New Roman" w:eastAsia="宋体" w:cs="Times New Roman"/>
        </w:rPr>
        <w:fldChar w:fldCharType="separate"/>
      </w:r>
      <w:r>
        <w:rPr>
          <w:rFonts w:hint="default" w:ascii="Times New Roman" w:hAnsi="Times New Roman" w:eastAsia="宋体" w:cs="Times New Roman"/>
        </w:rPr>
        <w:t>2</w:t>
      </w:r>
      <w:r>
        <w:rPr>
          <w:rFonts w:hint="default" w:ascii="Times New Roman" w:hAnsi="Times New Roman" w:eastAsia="宋体" w:cs="Times New Roman"/>
        </w:rPr>
        <w:fldChar w:fldCharType="end"/>
      </w:r>
    </w:p>
    <w:p w14:paraId="1E4D0CC4">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管护阶段划分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_Toc21682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282D85A1">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基础设施</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_Toc14327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506A2376">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组织与制度</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_Toc9884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626E5330">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5 前期阶段智慧管护要求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_Toc13566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77A8F446">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5.1</w:t>
      </w:r>
      <w:r>
        <w:rPr>
          <w:rFonts w:hint="default" w:ascii="Times New Roman" w:hAnsi="Times New Roman" w:eastAsia="宋体" w:cs="Times New Roman"/>
          <w:bCs w:val="0"/>
          <w:kern w:val="21"/>
        </w:rPr>
        <w:t xml:space="preserve">  </w:t>
      </w:r>
      <w:r>
        <w:rPr>
          <w:rFonts w:hint="default" w:ascii="Times New Roman" w:hAnsi="Times New Roman" w:eastAsia="宋体" w:cs="Times New Roman"/>
          <w:bCs w:val="0"/>
          <w:kern w:val="21"/>
          <w:lang w:val="en-US" w:eastAsia="zh-CN"/>
        </w:rPr>
        <w:t>规划与设计</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_Toc20440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1709A1EB">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5.2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工程验收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_Toc28286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015C1CBA">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6 运维阶段智慧管护要求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_Toc16735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5958373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6.1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lang w:val="en-US" w:eastAsia="zh-CN"/>
        </w:rPr>
        <w:t>智慧感知</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_Toc1778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40A6F98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数据传输与存储</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_Toc23427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11AFCB5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智能预警与调控</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_Toc3619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6470E45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智慧决策与管理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_Toc17599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4A3E11F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运行维护</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_Toc22309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1F1B59FA">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7 退役阶段智慧管护要求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_Toc22580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06CF3FDA">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退役评估与方案制定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_Toc23408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099822F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硬件处置</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_Toc28912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7BF200DF">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数据处置</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_Toc31624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29E77662">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退役报告</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_Toc16485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2FBE3413">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8 评价与改进</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_Toc12814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214AE49B">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lang w:val="en-US" w:eastAsia="zh-CN"/>
        </w:rPr>
        <w:t>8</w:t>
      </w:r>
      <w:r>
        <w:rPr>
          <w:rFonts w:hint="default" w:ascii="Times New Roman" w:hAnsi="Times New Roman" w:eastAsia="宋体" w:cs="Times New Roman"/>
          <w:bCs/>
          <w:kern w:val="21"/>
        </w:rPr>
        <w:t>.1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评价指标体系</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_Toc4550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2E96DEE7">
      <w:pPr>
        <w:pStyle w:val="26"/>
        <w:tabs>
          <w:tab w:val="right" w:leader="dot" w:pos="9354"/>
          <w:tab w:val="clear" w:pos="9344"/>
        </w:tabs>
        <w:rPr>
          <w:rFonts w:hint="default" w:ascii="Times New Roman" w:hAnsi="Times New Roman" w:eastAsia="宋体" w:cs="Times New Roman"/>
        </w:rPr>
      </w:pPr>
      <w:r>
        <w:rPr>
          <w:rFonts w:hint="eastAsia" w:ascii="Times New Roman" w:hAnsi="Times New Roman" w:cs="Times New Roman"/>
          <w:bCs/>
          <w:kern w:val="21"/>
          <w:lang w:val="en-US" w:eastAsia="zh-CN"/>
        </w:rPr>
        <w:t>8</w:t>
      </w:r>
      <w:r>
        <w:rPr>
          <w:rFonts w:hint="default" w:ascii="Times New Roman" w:hAnsi="Times New Roman" w:eastAsia="宋体" w:cs="Times New Roman"/>
          <w:bCs/>
          <w:kern w:val="21"/>
        </w:rPr>
        <w:t xml:space="preserve">.2 </w:t>
      </w:r>
      <w:r>
        <w:rPr>
          <w:rFonts w:hint="default" w:ascii="Times New Roman" w:hAnsi="Times New Roman" w:eastAsia="宋体" w:cs="Times New Roman"/>
          <w:bCs/>
          <w:kern w:val="21"/>
          <w:lang w:val="en-US" w:eastAsia="zh-CN"/>
        </w:rPr>
        <w:t xml:space="preserve"> </w:t>
      </w:r>
      <w:r>
        <w:rPr>
          <w:rFonts w:hint="eastAsia" w:ascii="Times New Roman" w:hAnsi="Times New Roman" w:cs="Times New Roman"/>
          <w:bCs/>
          <w:kern w:val="21"/>
          <w:lang w:val="en-US" w:eastAsia="zh-CN"/>
        </w:rPr>
        <w:t>持续改进</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_Toc13362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0E1B9006">
      <w:pPr>
        <w:pStyle w:val="96"/>
        <w:spacing w:after="360"/>
        <w:sectPr>
          <w:headerReference r:id="rId12" w:type="first"/>
          <w:headerReference r:id="rId10" w:type="default"/>
          <w:footerReference r:id="rId13" w:type="default"/>
          <w:headerReference r:id="rId11" w:type="even"/>
          <w:footerReference r:id="rId14" w:type="even"/>
          <w:pgSz w:w="11906" w:h="16838"/>
          <w:pgMar w:top="1928" w:right="1134" w:bottom="1134" w:left="1134" w:header="1418" w:footer="1134" w:gutter="284"/>
          <w:pgNumType w:fmt="upperRoman" w:start="1"/>
          <w:cols w:space="425" w:num="1"/>
          <w:formProt w:val="0"/>
          <w:docGrid w:linePitch="312" w:charSpace="0"/>
        </w:sectPr>
      </w:pPr>
      <w:r>
        <w:rPr>
          <w:rFonts w:hint="default" w:ascii="Times New Roman" w:hAnsi="Times New Roman" w:eastAsia="宋体" w:cs="Times New Roman"/>
        </w:rPr>
        <w:fldChar w:fldCharType="end"/>
      </w:r>
    </w:p>
    <w:bookmarkEnd w:id="17"/>
    <w:p w14:paraId="79B04A67">
      <w:pPr>
        <w:pStyle w:val="94"/>
        <w:spacing w:before="900" w:after="360"/>
      </w:pPr>
      <w:bookmarkStart w:id="19" w:name="_Toc32352"/>
      <w:bookmarkStart w:id="20" w:name="_Toc199856993"/>
      <w:bookmarkStart w:id="21" w:name="BookMark2"/>
      <w:r>
        <w:rPr>
          <w:rFonts w:hint="eastAsia"/>
          <w:spacing w:val="320"/>
        </w:rPr>
        <w:t>前</w:t>
      </w:r>
      <w:r>
        <w:rPr>
          <w:rFonts w:hint="eastAsia"/>
        </w:rPr>
        <w:t>言</w:t>
      </w:r>
      <w:bookmarkEnd w:id="18"/>
      <w:bookmarkEnd w:id="19"/>
      <w:bookmarkEnd w:id="20"/>
    </w:p>
    <w:p w14:paraId="6803C868">
      <w:pPr>
        <w:pStyle w:val="61"/>
        <w:ind w:firstLine="420"/>
      </w:pPr>
      <w:r>
        <w:rPr>
          <w:rFonts w:hint="eastAsia"/>
        </w:rPr>
        <w:t>本文件按照GB/T 1.1—2020《标准化工作导则  第1部分：标准化文件的结构和起草规则》的规定起草。</w:t>
      </w:r>
    </w:p>
    <w:p w14:paraId="7977F114">
      <w:pPr>
        <w:pStyle w:val="61"/>
        <w:ind w:firstLine="420"/>
      </w:pPr>
      <w:r>
        <w:rPr>
          <w:rFonts w:hint="eastAsia"/>
        </w:rPr>
        <w:t>请注意本文件的某些内容可能涉及专利，本文件的发布机构不承担识别这些专利的责任。</w:t>
      </w:r>
    </w:p>
    <w:p w14:paraId="6C771983">
      <w:pPr>
        <w:pStyle w:val="61"/>
        <w:ind w:firstLine="420"/>
      </w:pPr>
      <w:r>
        <w:rPr>
          <w:rFonts w:hint="eastAsia"/>
        </w:rPr>
        <w:t>本文件由中国基本建设优化研究会提出并归口。</w:t>
      </w:r>
    </w:p>
    <w:p w14:paraId="12C51EA3">
      <w:pPr>
        <w:pStyle w:val="61"/>
        <w:ind w:firstLine="420"/>
      </w:pPr>
      <w:r>
        <w:rPr>
          <w:rFonts w:hint="eastAsia"/>
        </w:rPr>
        <w:t>本文件起草单位：</w:t>
      </w:r>
    </w:p>
    <w:p w14:paraId="3FA3F0F0">
      <w:pPr>
        <w:pStyle w:val="61"/>
        <w:ind w:firstLine="420"/>
      </w:pPr>
      <w:r>
        <w:rPr>
          <w:rFonts w:hint="eastAsia"/>
        </w:rPr>
        <w:t>本文件主要起草人：</w:t>
      </w:r>
    </w:p>
    <w:p w14:paraId="0C1390A2">
      <w:pPr>
        <w:pStyle w:val="61"/>
        <w:ind w:firstLine="420"/>
      </w:pPr>
    </w:p>
    <w:p w14:paraId="1411D536">
      <w:pPr>
        <w:pStyle w:val="61"/>
        <w:ind w:firstLine="420"/>
        <w:sectPr>
          <w:headerReference r:id="rId17" w:type="first"/>
          <w:headerReference r:id="rId15" w:type="default"/>
          <w:footerReference r:id="rId18" w:type="default"/>
          <w:headerReference r:id="rId16" w:type="even"/>
          <w:footerReference r:id="rId19" w:type="even"/>
          <w:pgSz w:w="11906" w:h="16838"/>
          <w:pgMar w:top="1928" w:right="1134" w:bottom="1134" w:left="1134" w:header="1418" w:footer="1134" w:gutter="284"/>
          <w:pgNumType w:fmt="upperRoman"/>
          <w:cols w:space="425" w:num="1"/>
          <w:formProt w:val="0"/>
          <w:docGrid w:linePitch="312" w:charSpace="0"/>
        </w:sectPr>
      </w:pPr>
    </w:p>
    <w:bookmarkEnd w:id="21"/>
    <w:p w14:paraId="6F191CB9">
      <w:pPr>
        <w:spacing w:line="20" w:lineRule="exact"/>
        <w:jc w:val="center"/>
        <w:rPr>
          <w:rFonts w:ascii="黑体" w:hAnsi="黑体" w:eastAsia="黑体"/>
          <w:sz w:val="32"/>
          <w:szCs w:val="32"/>
        </w:rPr>
      </w:pPr>
      <w:bookmarkStart w:id="22" w:name="BookMark4"/>
    </w:p>
    <w:p w14:paraId="69904142">
      <w:pPr>
        <w:spacing w:line="20" w:lineRule="exact"/>
        <w:jc w:val="center"/>
        <w:rPr>
          <w:rFonts w:ascii="黑体" w:hAnsi="黑体" w:eastAsia="黑体"/>
          <w:sz w:val="32"/>
          <w:szCs w:val="32"/>
        </w:rPr>
      </w:pPr>
    </w:p>
    <w:sdt>
      <w:sdtPr>
        <w:tag w:val="NEW_STAND_NAME"/>
        <w:id w:val="595910757"/>
        <w:lock w:val="sdtLocked"/>
        <w:placeholder>
          <w:docPart w:val="72B77DB749804158B30A2318A9CC564E"/>
        </w:placeholder>
      </w:sdtPr>
      <w:sdtContent>
        <w:p w14:paraId="2264B1D0">
          <w:pPr>
            <w:pStyle w:val="182"/>
          </w:pPr>
          <w:bookmarkStart w:id="23" w:name="NEW_STAND_NAME"/>
          <w:r>
            <w:rPr>
              <w:rFonts w:hint="eastAsia"/>
              <w:lang w:eastAsia="zh-CN"/>
            </w:rPr>
            <w:t>高标准农田建设及运行管护技术规程</w:t>
          </w:r>
        </w:p>
      </w:sdtContent>
    </w:sdt>
    <w:bookmarkEnd w:id="22"/>
    <w:bookmarkEnd w:id="23"/>
    <w:p w14:paraId="0D6772B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24" w:name="_Toc6198"/>
      <w:bookmarkStart w:id="25" w:name="_Toc534381560"/>
      <w:bookmarkStart w:id="26" w:name="BookMark8"/>
      <w:bookmarkStart w:id="27" w:name="_Toc199857045"/>
      <w:r>
        <w:rPr>
          <w:rFonts w:hint="eastAsia" w:ascii="Times New Roman" w:hAnsi="Times New Roman" w:eastAsia="黑体"/>
          <w:b/>
          <w:bCs w:val="0"/>
          <w:kern w:val="44"/>
          <w:lang w:val="en-US" w:eastAsia="zh-CN"/>
        </w:rPr>
        <w:t>范围</w:t>
      </w:r>
      <w:bookmarkEnd w:id="24"/>
      <w:bookmarkEnd w:id="25"/>
    </w:p>
    <w:p w14:paraId="14994844">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本文件规定了高标准农田全周期智慧管护的</w:t>
      </w:r>
      <w:r>
        <w:rPr>
          <w:rFonts w:hint="eastAsia" w:ascii="Times New Roman" w:hAnsi="Times New Roman"/>
          <w:szCs w:val="24"/>
          <w:lang w:eastAsia="zh-CN"/>
        </w:rPr>
        <w:t>总体</w:t>
      </w:r>
      <w:r>
        <w:rPr>
          <w:rFonts w:hint="eastAsia" w:ascii="Times New Roman" w:hAnsi="Times New Roman"/>
          <w:szCs w:val="24"/>
          <w:lang w:val="en-US" w:eastAsia="zh-CN"/>
        </w:rPr>
        <w:t>要求</w:t>
      </w:r>
      <w:r>
        <w:rPr>
          <w:rFonts w:hint="eastAsia" w:ascii="Times New Roman" w:hAnsi="Times New Roman"/>
          <w:szCs w:val="24"/>
        </w:rPr>
        <w:t>、前期阶段智慧管护要求、</w:t>
      </w:r>
      <w:r>
        <w:rPr>
          <w:rFonts w:hint="eastAsia" w:ascii="Times New Roman" w:hAnsi="Times New Roman"/>
          <w:szCs w:val="24"/>
          <w:lang w:eastAsia="zh-CN"/>
        </w:rPr>
        <w:t>运维</w:t>
      </w:r>
      <w:r>
        <w:rPr>
          <w:rFonts w:hint="eastAsia" w:ascii="Times New Roman" w:hAnsi="Times New Roman"/>
          <w:szCs w:val="24"/>
        </w:rPr>
        <w:t>阶段智慧管护要求、</w:t>
      </w:r>
      <w:r>
        <w:rPr>
          <w:rFonts w:hint="eastAsia" w:ascii="Times New Roman" w:hAnsi="Times New Roman"/>
          <w:szCs w:val="24"/>
          <w:lang w:eastAsia="zh-CN"/>
        </w:rPr>
        <w:t>退役</w:t>
      </w:r>
      <w:r>
        <w:rPr>
          <w:rFonts w:hint="eastAsia" w:ascii="Times New Roman" w:hAnsi="Times New Roman"/>
          <w:szCs w:val="24"/>
        </w:rPr>
        <w:t>阶段智慧管护要求</w:t>
      </w:r>
      <w:r>
        <w:rPr>
          <w:rFonts w:hint="eastAsia" w:ascii="Times New Roman" w:hAnsi="Times New Roman"/>
          <w:szCs w:val="24"/>
          <w:lang w:eastAsia="zh-CN"/>
        </w:rPr>
        <w:t>、评价与改进</w:t>
      </w:r>
      <w:r>
        <w:rPr>
          <w:rFonts w:hint="eastAsia" w:ascii="Times New Roman" w:hAnsi="Times New Roman"/>
          <w:szCs w:val="24"/>
        </w:rPr>
        <w:t>。</w:t>
      </w:r>
    </w:p>
    <w:p w14:paraId="3FC4E26B">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本文件主要适用于高标准农田新建及改造提升项目的全周期智慧化管护工作。</w:t>
      </w:r>
    </w:p>
    <w:p w14:paraId="68E18B3B">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28" w:name="_Toc534381561"/>
      <w:bookmarkStart w:id="29" w:name="_Toc21024"/>
      <w:r>
        <w:rPr>
          <w:rFonts w:hint="eastAsia" w:ascii="Times New Roman" w:hAnsi="Times New Roman" w:eastAsia="黑体"/>
          <w:b/>
          <w:bCs w:val="0"/>
          <w:kern w:val="44"/>
          <w:lang w:val="en-US" w:eastAsia="zh-CN"/>
        </w:rPr>
        <w:t>规范性引用文件</w:t>
      </w:r>
      <w:bookmarkEnd w:id="28"/>
      <w:bookmarkEnd w:id="29"/>
    </w:p>
    <w:p w14:paraId="35A3F7D3">
      <w:pPr>
        <w:adjustRightInd/>
        <w:spacing w:line="240" w:lineRule="auto"/>
        <w:ind w:firstLine="420" w:firstLineChars="200"/>
        <w:rPr>
          <w:rFonts w:ascii="Times New Roman" w:hAnsi="Times New Roman"/>
          <w:szCs w:val="24"/>
        </w:rPr>
      </w:pPr>
      <w:r>
        <w:rPr>
          <w:rFonts w:hint="eastAsia" w:ascii="Times New Roman" w:hAnsi="Times New Roman"/>
          <w:szCs w:val="24"/>
        </w:rPr>
        <w:t>下列文件对于本文件的应用是必不可少的。凡是注日期的引用文件，仅所注日期的版本适用于本文件。凡是不注日期的引用文件，其最新版本（包括所有的修改单）适用于本文件。</w:t>
      </w:r>
    </w:p>
    <w:p w14:paraId="6F5915CA">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18316 数字测绘成果质量检查与验收</w:t>
      </w:r>
    </w:p>
    <w:p w14:paraId="74F957C3">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20988 信息安全技术 信息系统灾难恢复规范</w:t>
      </w:r>
    </w:p>
    <w:p w14:paraId="5D99E69F">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22021 国家大地测量基本技术规定</w:t>
      </w:r>
    </w:p>
    <w:p w14:paraId="571D09FE">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22239 信息安全技术 网络安全等级保护基本要求</w:t>
      </w:r>
    </w:p>
    <w:p w14:paraId="37219840">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28181 公共安全视频监控联网系统信息传输、交换、控制技术要求</w:t>
      </w:r>
    </w:p>
    <w:p w14:paraId="5CD5B0EF">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30600 高标准农田建设 通则</w:t>
      </w:r>
    </w:p>
    <w:p w14:paraId="1F391AEA">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31500 网络安全技术 存储介质数据恢复服务安全规范</w:t>
      </w:r>
    </w:p>
    <w:p w14:paraId="66A38CB1">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33469 耕地质量等级</w:t>
      </w:r>
    </w:p>
    <w:p w14:paraId="0D2E1742">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33703 自动气象站观测规范</w:t>
      </w:r>
    </w:p>
    <w:p w14:paraId="21913F76">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35221 地面气象观测规范 总则</w:t>
      </w:r>
    </w:p>
    <w:p w14:paraId="1A5C36B3">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36344 信息技术 数据质量评价指标</w:t>
      </w:r>
    </w:p>
    <w:p w14:paraId="6E6FDF52">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37964 信息安全技术 个人信息去标识化指南</w:t>
      </w:r>
    </w:p>
    <w:p w14:paraId="1C57ACB8">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38637.1 物联网 感知控制设备接入 第1部分：总体要求</w:t>
      </w:r>
    </w:p>
    <w:p w14:paraId="25FD0C39">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38667 信息技术 大数据 数据分类指南</w:t>
      </w:r>
    </w:p>
    <w:p w14:paraId="10191B25">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43443 物联网 智慧农业信息系统接口要求</w:t>
      </w:r>
    </w:p>
    <w:p w14:paraId="7AD362C4">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44985.1 农业物联网通用技术要求 第1部分：大田种植</w:t>
      </w:r>
    </w:p>
    <w:p w14:paraId="6336565E">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50174 数据中心设计规范</w:t>
      </w:r>
    </w:p>
    <w:p w14:paraId="77E0E154">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NY/T 395 农田土壤环境质量监测技术规范</w:t>
      </w:r>
    </w:p>
    <w:p w14:paraId="346BFE7F">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NY/T 1782 农田土壤墒情监测技术规范</w:t>
      </w:r>
    </w:p>
    <w:p w14:paraId="73A05AAE">
      <w:pPr>
        <w:adjustRightInd/>
        <w:spacing w:after="120" w:line="240" w:lineRule="auto"/>
        <w:ind w:firstLine="420" w:firstLineChars="200"/>
        <w:rPr>
          <w:rFonts w:hint="eastAsia" w:ascii="Times New Roman" w:hAnsi="Times New Roman"/>
          <w:szCs w:val="24"/>
        </w:rPr>
      </w:pPr>
      <w:r>
        <w:rPr>
          <w:rFonts w:hint="eastAsia" w:ascii="Times New Roman" w:hAnsi="Times New Roman"/>
          <w:szCs w:val="24"/>
          <w:highlight w:val="none"/>
        </w:rPr>
        <w:t>SL/T 426 水量计量设备基本技术条件</w:t>
      </w:r>
    </w:p>
    <w:p w14:paraId="761CDEC5">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highlight w:val="none"/>
          <w:lang w:val="en-US" w:eastAsia="zh-CN"/>
        </w:rPr>
      </w:pPr>
      <w:bookmarkStart w:id="30" w:name="_Toc534381562"/>
      <w:bookmarkEnd w:id="30"/>
      <w:bookmarkStart w:id="31" w:name="_Toc8530"/>
      <w:r>
        <w:rPr>
          <w:rFonts w:hint="eastAsia" w:ascii="Times New Roman" w:hAnsi="Times New Roman" w:eastAsia="黑体"/>
          <w:b/>
          <w:bCs w:val="0"/>
          <w:kern w:val="44"/>
          <w:highlight w:val="none"/>
          <w:lang w:val="en-US" w:eastAsia="zh-CN"/>
        </w:rPr>
        <w:t>术语</w:t>
      </w:r>
      <w:bookmarkEnd w:id="31"/>
    </w:p>
    <w:p w14:paraId="3F9A344D">
      <w:pPr>
        <w:adjustRightInd/>
        <w:spacing w:after="120" w:line="360" w:lineRule="auto"/>
        <w:ind w:firstLine="420" w:firstLineChars="200"/>
        <w:rPr>
          <w:rFonts w:hint="eastAsia" w:ascii="Times New Roman" w:hAnsi="Times New Roman"/>
          <w:szCs w:val="24"/>
        </w:rPr>
      </w:pPr>
      <w:r>
        <w:rPr>
          <w:rFonts w:hint="eastAsia" w:ascii="Times New Roman" w:hAnsi="Times New Roman"/>
          <w:szCs w:val="24"/>
          <w:lang w:val="en-US" w:eastAsia="zh-CN"/>
        </w:rPr>
        <w:t>GB/T 30600、GB/T 33130和SL 56</w:t>
      </w:r>
      <w:r>
        <w:rPr>
          <w:rFonts w:hint="eastAsia" w:ascii="Times New Roman" w:hAnsi="Times New Roman"/>
          <w:szCs w:val="24"/>
        </w:rPr>
        <w:t>界定的以及下列术语和定义适用于本文件。</w:t>
      </w:r>
    </w:p>
    <w:p w14:paraId="19824FC8">
      <w:pPr>
        <w:adjustRightInd/>
        <w:spacing w:line="240" w:lineRule="auto"/>
        <w:rPr>
          <w:rFonts w:ascii="Times New Roman" w:hAnsi="Times New Roman"/>
          <w:b/>
          <w:szCs w:val="24"/>
        </w:rPr>
      </w:pPr>
      <w:bookmarkStart w:id="32" w:name="_Toc30657"/>
      <w:bookmarkStart w:id="33" w:name="_Toc3451"/>
      <w:r>
        <w:rPr>
          <w:rFonts w:hint="eastAsia" w:ascii="Times New Roman" w:hAnsi="Times New Roman"/>
          <w:b/>
          <w:szCs w:val="24"/>
        </w:rPr>
        <w:t>3.1</w:t>
      </w:r>
    </w:p>
    <w:bookmarkEnd w:id="32"/>
    <w:bookmarkEnd w:id="33"/>
    <w:p w14:paraId="5C80B985">
      <w:pPr>
        <w:adjustRightInd/>
        <w:spacing w:after="120" w:line="360" w:lineRule="auto"/>
        <w:ind w:firstLine="420" w:firstLineChars="200"/>
        <w:rPr>
          <w:rFonts w:hint="eastAsia" w:ascii="Times New Roman" w:hAnsi="Times New Roman"/>
          <w:szCs w:val="24"/>
        </w:rPr>
      </w:pPr>
      <w:r>
        <w:rPr>
          <w:rFonts w:hint="eastAsia" w:ascii="Times New Roman" w:hAnsi="Times New Roman"/>
          <w:szCs w:val="24"/>
        </w:rPr>
        <w:t>全周期 full-cycle</w:t>
      </w:r>
    </w:p>
    <w:p w14:paraId="3136B9FD">
      <w:pPr>
        <w:adjustRightInd/>
        <w:spacing w:after="120" w:line="360" w:lineRule="auto"/>
        <w:ind w:firstLine="420" w:firstLineChars="200"/>
        <w:rPr>
          <w:rFonts w:hint="eastAsia" w:ascii="Times New Roman" w:hAnsi="Times New Roman"/>
          <w:szCs w:val="24"/>
          <w:highlight w:val="none"/>
          <w:lang w:eastAsia="zh-CN"/>
        </w:rPr>
      </w:pPr>
      <w:r>
        <w:rPr>
          <w:rFonts w:hint="eastAsia" w:ascii="Times New Roman" w:hAnsi="Times New Roman"/>
          <w:szCs w:val="24"/>
        </w:rPr>
        <w:t>覆盖高标准农田项目规划设计、施工建设、竣工验收、运营维护及至最终退役处置的全过程。</w:t>
      </w:r>
    </w:p>
    <w:p w14:paraId="3C56B1EC">
      <w:pPr>
        <w:adjustRightInd/>
        <w:spacing w:line="240" w:lineRule="auto"/>
        <w:rPr>
          <w:rFonts w:hint="eastAsia" w:ascii="Times New Roman" w:hAnsi="Times New Roman" w:eastAsia="宋体"/>
          <w:b/>
          <w:szCs w:val="24"/>
          <w:lang w:eastAsia="zh-CN"/>
        </w:rPr>
      </w:pPr>
      <w:r>
        <w:rPr>
          <w:rFonts w:hint="eastAsia" w:ascii="Times New Roman" w:hAnsi="Times New Roman"/>
          <w:b/>
          <w:szCs w:val="24"/>
        </w:rPr>
        <w:t>3.</w:t>
      </w:r>
      <w:r>
        <w:rPr>
          <w:rFonts w:hint="eastAsia" w:ascii="Times New Roman" w:hAnsi="Times New Roman"/>
          <w:b/>
          <w:szCs w:val="24"/>
          <w:lang w:val="en-US" w:eastAsia="zh-CN"/>
        </w:rPr>
        <w:t>2</w:t>
      </w:r>
    </w:p>
    <w:p w14:paraId="0A354FA2">
      <w:pPr>
        <w:adjustRightInd/>
        <w:spacing w:after="120" w:line="360" w:lineRule="auto"/>
        <w:ind w:firstLine="420" w:firstLineChars="200"/>
        <w:rPr>
          <w:rFonts w:hint="eastAsia" w:ascii="Times New Roman" w:hAnsi="Times New Roman"/>
          <w:szCs w:val="24"/>
          <w:highlight w:val="none"/>
          <w:lang w:val="en-US" w:eastAsia="zh-CN"/>
        </w:rPr>
      </w:pPr>
      <w:r>
        <w:rPr>
          <w:rFonts w:hint="eastAsia" w:ascii="Times New Roman" w:hAnsi="Times New Roman"/>
          <w:szCs w:val="24"/>
          <w:highlight w:val="none"/>
          <w:lang w:val="en-US" w:eastAsia="zh-CN"/>
        </w:rPr>
        <w:t>智慧管护 smart management and maintenance</w:t>
      </w:r>
    </w:p>
    <w:p w14:paraId="13791A86">
      <w:pPr>
        <w:adjustRightInd/>
        <w:spacing w:after="120" w:line="360" w:lineRule="auto"/>
        <w:ind w:firstLine="420" w:firstLineChars="200"/>
        <w:rPr>
          <w:rFonts w:hint="eastAsia" w:ascii="Times New Roman" w:hAnsi="Times New Roman"/>
          <w:szCs w:val="24"/>
          <w:highlight w:val="none"/>
          <w:lang w:val="en-US" w:eastAsia="zh-CN"/>
        </w:rPr>
      </w:pPr>
      <w:r>
        <w:rPr>
          <w:rFonts w:hint="eastAsia" w:ascii="Times New Roman" w:hAnsi="Times New Roman"/>
          <w:szCs w:val="24"/>
          <w:highlight w:val="none"/>
          <w:lang w:val="en-US" w:eastAsia="zh-CN"/>
        </w:rPr>
        <w:t>利用物联网、大数据、云计算、人工智能等现代信息技术，对农田基础设施、生态环境、作物生长等进行实时监测、智能预警、精准控制和智慧决策的管护模式。</w:t>
      </w:r>
    </w:p>
    <w:p w14:paraId="514C7544">
      <w:pPr>
        <w:adjustRightInd/>
        <w:spacing w:line="240" w:lineRule="auto"/>
        <w:rPr>
          <w:rFonts w:hint="eastAsia" w:ascii="Times New Roman" w:hAnsi="Times New Roman" w:eastAsia="宋体"/>
          <w:b/>
          <w:szCs w:val="24"/>
          <w:lang w:eastAsia="zh-CN"/>
        </w:rPr>
      </w:pPr>
      <w:r>
        <w:rPr>
          <w:rFonts w:hint="eastAsia" w:ascii="Times New Roman" w:hAnsi="Times New Roman"/>
          <w:b/>
          <w:szCs w:val="24"/>
        </w:rPr>
        <w:t>3.</w:t>
      </w:r>
      <w:r>
        <w:rPr>
          <w:rFonts w:hint="eastAsia" w:ascii="Times New Roman" w:hAnsi="Times New Roman"/>
          <w:b/>
          <w:szCs w:val="24"/>
          <w:lang w:val="en-US" w:eastAsia="zh-CN"/>
        </w:rPr>
        <w:t>3</w:t>
      </w:r>
    </w:p>
    <w:p w14:paraId="04F4CA81">
      <w:pPr>
        <w:adjustRightInd/>
        <w:spacing w:after="120" w:line="360" w:lineRule="auto"/>
        <w:ind w:firstLine="420" w:firstLineChars="200"/>
        <w:rPr>
          <w:rFonts w:hint="eastAsia" w:ascii="Times New Roman" w:hAnsi="Times New Roman"/>
          <w:szCs w:val="24"/>
          <w:highlight w:val="none"/>
          <w:lang w:val="en-US" w:eastAsia="zh-CN"/>
        </w:rPr>
      </w:pPr>
      <w:r>
        <w:rPr>
          <w:rFonts w:hint="eastAsia" w:ascii="Times New Roman" w:hAnsi="Times New Roman"/>
          <w:szCs w:val="24"/>
          <w:highlight w:val="none"/>
          <w:lang w:val="en-US" w:eastAsia="zh-CN"/>
        </w:rPr>
        <w:t>数字孪生 digital twin​</w:t>
      </w:r>
    </w:p>
    <w:p w14:paraId="0140D931">
      <w:pPr>
        <w:adjustRightInd/>
        <w:spacing w:after="120" w:line="360" w:lineRule="auto"/>
        <w:ind w:firstLine="420" w:firstLineChars="200"/>
        <w:rPr>
          <w:rFonts w:hint="eastAsia" w:ascii="Times New Roman" w:hAnsi="Times New Roman"/>
          <w:szCs w:val="24"/>
          <w:highlight w:val="none"/>
          <w:lang w:val="en-US" w:eastAsia="zh-CN"/>
        </w:rPr>
      </w:pPr>
      <w:r>
        <w:rPr>
          <w:rFonts w:hint="eastAsia" w:ascii="Times New Roman" w:hAnsi="Times New Roman"/>
          <w:szCs w:val="24"/>
          <w:highlight w:val="none"/>
          <w:lang w:val="en-US" w:eastAsia="zh-CN"/>
        </w:rPr>
        <w:t>以数字化方式创建物理实体的虚拟模型，借助数据模拟物理实体在现实环境中的行为，从而实现对物理实体的全生命周期过程进行映射、监控、模拟、预测、优化的技术体系。</w:t>
      </w:r>
    </w:p>
    <w:p w14:paraId="32D22224">
      <w:pPr>
        <w:adjustRightInd/>
        <w:spacing w:line="240" w:lineRule="auto"/>
        <w:rPr>
          <w:rFonts w:hint="eastAsia" w:ascii="Times New Roman" w:hAnsi="Times New Roman" w:eastAsia="宋体"/>
          <w:b/>
          <w:szCs w:val="24"/>
          <w:highlight w:val="none"/>
          <w:lang w:eastAsia="zh-CN"/>
        </w:rPr>
      </w:pPr>
      <w:bookmarkStart w:id="34" w:name="_Toc85553243"/>
      <w:bookmarkEnd w:id="34"/>
      <w:bookmarkStart w:id="35" w:name="_Toc6358"/>
      <w:bookmarkStart w:id="36" w:name="_Toc5179"/>
      <w:r>
        <w:rPr>
          <w:rFonts w:hint="eastAsia" w:ascii="Times New Roman" w:hAnsi="Times New Roman"/>
          <w:b/>
          <w:szCs w:val="24"/>
          <w:highlight w:val="none"/>
        </w:rPr>
        <w:t>3.</w:t>
      </w:r>
      <w:r>
        <w:rPr>
          <w:rFonts w:hint="eastAsia" w:ascii="Times New Roman" w:hAnsi="Times New Roman"/>
          <w:b/>
          <w:szCs w:val="24"/>
          <w:highlight w:val="none"/>
          <w:lang w:val="en-US" w:eastAsia="zh-CN"/>
        </w:rPr>
        <w:t>4</w:t>
      </w:r>
    </w:p>
    <w:bookmarkEnd w:id="35"/>
    <w:bookmarkEnd w:id="36"/>
    <w:p w14:paraId="6624F6B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智能预警 intelligent early-warning​</w:t>
      </w:r>
    </w:p>
    <w:p w14:paraId="4A13EF3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基于实时监测数据和预设规则或人工智能模型，对农田环境中可能出现的异常状况、灾害风险或设备故障等进行自动识别、分析并发出警报的信息处理过程。</w:t>
      </w:r>
      <w:bookmarkStart w:id="37" w:name="_Toc85553244"/>
      <w:bookmarkEnd w:id="37"/>
    </w:p>
    <w:p w14:paraId="1628BF95">
      <w:pPr>
        <w:adjustRightInd/>
        <w:spacing w:line="240" w:lineRule="auto"/>
        <w:rPr>
          <w:rFonts w:hint="eastAsia" w:ascii="Times New Roman" w:hAnsi="Times New Roman" w:eastAsia="宋体"/>
          <w:b/>
          <w:szCs w:val="24"/>
          <w:highlight w:val="none"/>
          <w:lang w:eastAsia="zh-CN"/>
        </w:rPr>
      </w:pPr>
      <w:r>
        <w:rPr>
          <w:rFonts w:hint="eastAsia" w:ascii="Times New Roman" w:hAnsi="Times New Roman"/>
          <w:b/>
          <w:szCs w:val="24"/>
          <w:highlight w:val="none"/>
        </w:rPr>
        <w:t>3.</w:t>
      </w:r>
      <w:r>
        <w:rPr>
          <w:rFonts w:hint="eastAsia" w:ascii="Times New Roman" w:hAnsi="Times New Roman"/>
          <w:b/>
          <w:szCs w:val="24"/>
          <w:highlight w:val="none"/>
          <w:lang w:val="en-US" w:eastAsia="zh-CN"/>
        </w:rPr>
        <w:t>5</w:t>
      </w:r>
    </w:p>
    <w:p w14:paraId="77D9CCB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感知设备 perception device​</w:t>
      </w:r>
    </w:p>
    <w:p w14:paraId="1D31C2D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用于采集农田环境信息和作物生长状态的各类传感器、摄像头、遥感设备等的总称。其技术要求应符合YD/T 2396的规定。</w:t>
      </w:r>
    </w:p>
    <w:p w14:paraId="1F68B709">
      <w:pPr>
        <w:adjustRightInd/>
        <w:spacing w:line="240" w:lineRule="auto"/>
        <w:rPr>
          <w:rFonts w:hint="eastAsia" w:ascii="Times New Roman" w:hAnsi="Times New Roman" w:eastAsia="宋体"/>
          <w:b/>
          <w:szCs w:val="24"/>
          <w:highlight w:val="none"/>
          <w:lang w:eastAsia="zh-CN"/>
        </w:rPr>
      </w:pPr>
      <w:r>
        <w:rPr>
          <w:rFonts w:hint="eastAsia" w:ascii="Times New Roman" w:hAnsi="Times New Roman"/>
          <w:b/>
          <w:szCs w:val="24"/>
          <w:highlight w:val="none"/>
        </w:rPr>
        <w:t>3.</w:t>
      </w:r>
      <w:r>
        <w:rPr>
          <w:rFonts w:hint="eastAsia" w:ascii="Times New Roman" w:hAnsi="Times New Roman"/>
          <w:b/>
          <w:szCs w:val="24"/>
          <w:highlight w:val="none"/>
          <w:lang w:val="en-US" w:eastAsia="zh-CN"/>
        </w:rPr>
        <w:t>6</w:t>
      </w:r>
    </w:p>
    <w:p w14:paraId="0D381064">
      <w:pPr>
        <w:adjustRightInd/>
        <w:spacing w:line="360" w:lineRule="auto"/>
        <w:ind w:firstLine="420" w:firstLineChars="200"/>
        <w:rPr>
          <w:rFonts w:hint="eastAsia" w:ascii="Times New Roman" w:hAnsi="Times New Roman"/>
          <w:szCs w:val="24"/>
          <w:lang w:eastAsia="zh-CN"/>
        </w:rPr>
      </w:pPr>
      <w:r>
        <w:rPr>
          <w:rFonts w:hint="eastAsia" w:ascii="Times New Roman" w:hAnsi="Times New Roman"/>
          <w:szCs w:val="24"/>
          <w:lang w:eastAsia="zh-CN"/>
        </w:rPr>
        <w:t>耕地质量等级 farmland quality grade​</w:t>
      </w:r>
    </w:p>
    <w:p w14:paraId="01558843">
      <w:pPr>
        <w:adjustRightInd/>
        <w:spacing w:line="360" w:lineRule="auto"/>
        <w:ind w:firstLine="420" w:firstLineChars="200"/>
        <w:rPr>
          <w:rFonts w:hint="eastAsia" w:ascii="Times New Roman" w:hAnsi="Times New Roman"/>
          <w:szCs w:val="24"/>
          <w:lang w:eastAsia="zh-CN"/>
        </w:rPr>
      </w:pPr>
      <w:r>
        <w:rPr>
          <w:rFonts w:hint="eastAsia" w:ascii="Times New Roman" w:hAnsi="Times New Roman"/>
          <w:szCs w:val="24"/>
          <w:lang w:eastAsia="zh-CN"/>
        </w:rPr>
        <w:t>用于反映耕地粮食产能水平的综合评价指标，依据GB/T 33469规定的方法进行评定。</w:t>
      </w:r>
    </w:p>
    <w:p w14:paraId="3BD5815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38" w:name="_Toc85553250"/>
      <w:bookmarkEnd w:id="38"/>
      <w:bookmarkStart w:id="39" w:name="_Toc17245"/>
      <w:r>
        <w:rPr>
          <w:rFonts w:hint="eastAsia" w:ascii="Times New Roman" w:hAnsi="Times New Roman" w:eastAsia="黑体"/>
          <w:b/>
          <w:bCs w:val="0"/>
          <w:kern w:val="44"/>
          <w:lang w:val="en-US" w:eastAsia="zh-CN"/>
        </w:rPr>
        <w:t>总体要求</w:t>
      </w:r>
      <w:bookmarkEnd w:id="39"/>
    </w:p>
    <w:p w14:paraId="60573700">
      <w:pPr>
        <w:keepNext/>
        <w:keepLines/>
        <w:tabs>
          <w:tab w:val="left" w:pos="420"/>
          <w:tab w:val="left" w:pos="540"/>
        </w:tabs>
        <w:adjustRightInd/>
        <w:spacing w:before="156" w:beforeLines="50" w:after="156" w:afterLines="50" w:line="240" w:lineRule="auto"/>
        <w:outlineLvl w:val="1"/>
        <w:rPr>
          <w:rFonts w:hint="default" w:ascii="Times New Roman" w:hAnsi="Times New Roman" w:eastAsia="黑体" w:cs="黑体"/>
          <w:b/>
          <w:bCs/>
          <w:kern w:val="21"/>
          <w:lang w:val="en-US" w:eastAsia="zh-CN"/>
        </w:rPr>
      </w:pPr>
      <w:bookmarkStart w:id="40" w:name="_Toc23298"/>
      <w:r>
        <w:rPr>
          <w:rFonts w:hint="eastAsia" w:ascii="Times New Roman" w:hAnsi="Times New Roman" w:eastAsia="黑体" w:cs="黑体"/>
          <w:b/>
          <w:bCs/>
          <w:kern w:val="21"/>
        </w:rPr>
        <w:t>4.1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lang w:val="en-US" w:eastAsia="zh-CN"/>
        </w:rPr>
        <w:t>原则</w:t>
      </w:r>
      <w:bookmarkEnd w:id="40"/>
    </w:p>
    <w:p w14:paraId="3642497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高标准农田智慧管护应遵循以下原则：</w:t>
      </w:r>
    </w:p>
    <w:p w14:paraId="3B74A1B0">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全程化：覆盖项目立项、设计、建设、验收、运维和退役的全生命周期，建立贯穿始终的数据链和管理链</w:t>
      </w:r>
      <w:r>
        <w:rPr>
          <w:rFonts w:hint="eastAsia" w:ascii="Times New Roman" w:hAnsi="Times New Roman"/>
          <w:szCs w:val="24"/>
          <w:lang w:eastAsia="zh-CN"/>
        </w:rPr>
        <w:t>；</w:t>
      </w:r>
    </w:p>
    <w:p w14:paraId="7A1E85F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智慧化：充分应用物联网、大数据、人工智能、数字孪生等现代信息技术，实现感知、分析、决策、执行的智能化闭环管理</w:t>
      </w:r>
      <w:r>
        <w:rPr>
          <w:rFonts w:hint="eastAsia" w:ascii="Times New Roman" w:hAnsi="Times New Roman"/>
          <w:szCs w:val="24"/>
          <w:lang w:eastAsia="zh-CN"/>
        </w:rPr>
        <w:t>；</w:t>
      </w:r>
    </w:p>
    <w:p w14:paraId="717B2695">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c) 一体化：实现“田、土、水、路、林、电、技、管”等要素的协同管控，促进基础设施、信息平台和农艺技术的深度融合</w:t>
      </w:r>
      <w:r>
        <w:rPr>
          <w:rFonts w:hint="eastAsia" w:ascii="Times New Roman" w:hAnsi="Times New Roman"/>
          <w:szCs w:val="24"/>
          <w:lang w:eastAsia="zh-CN"/>
        </w:rPr>
        <w:t>；</w:t>
      </w:r>
    </w:p>
    <w:p w14:paraId="2C7DE7E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d) 可持续：注重经济、社会和生态效益的统一，推行节水、节肥、节药等绿色生产技术，确保农田永续利用</w:t>
      </w:r>
      <w:r>
        <w:rPr>
          <w:rFonts w:hint="eastAsia" w:ascii="Times New Roman" w:hAnsi="Times New Roman"/>
          <w:szCs w:val="24"/>
          <w:lang w:eastAsia="zh-CN"/>
        </w:rPr>
        <w:t>；</w:t>
      </w:r>
    </w:p>
    <w:p w14:paraId="3D4FF7C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安全性：确保网络、数据和控制系统安全可靠。</w:t>
      </w:r>
    </w:p>
    <w:p w14:paraId="6BD58B03">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41" w:name="_Toc21682"/>
      <w:r>
        <w:rPr>
          <w:rFonts w:hint="eastAsia" w:ascii="Times New Roman" w:hAnsi="Times New Roman" w:eastAsia="黑体" w:cs="黑体"/>
          <w:b/>
          <w:bCs/>
          <w:kern w:val="21"/>
        </w:rPr>
        <w:t xml:space="preserve">4.2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管护阶段划分</w:t>
      </w:r>
      <w:bookmarkEnd w:id="41"/>
    </w:p>
    <w:p w14:paraId="1265B12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高标准农田全周期智慧管护可分为以下三个阶段，各阶段应实现无缝衔接和数据贯通：</w:t>
      </w:r>
    </w:p>
    <w:p w14:paraId="015A767F">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前期阶段：包括项目规划、设计与工程验收。此阶段是智慧管护体系的奠基期，需完成顶层设计和基础部署</w:t>
      </w:r>
      <w:r>
        <w:rPr>
          <w:rFonts w:hint="eastAsia" w:ascii="Times New Roman" w:hAnsi="Times New Roman"/>
          <w:szCs w:val="24"/>
          <w:lang w:eastAsia="zh-CN"/>
        </w:rPr>
        <w:t>；</w:t>
      </w:r>
    </w:p>
    <w:p w14:paraId="025D3B0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运维阶段：项目交付后长期的运营、维护与监测。此阶段是智慧管护价值的核心体现期，需确保系统稳定运行并持续产生效益</w:t>
      </w:r>
      <w:r>
        <w:rPr>
          <w:rFonts w:hint="eastAsia" w:ascii="Times New Roman" w:hAnsi="Times New Roman"/>
          <w:szCs w:val="24"/>
          <w:lang w:eastAsia="zh-CN"/>
        </w:rPr>
        <w:t>；</w:t>
      </w:r>
    </w:p>
    <w:p w14:paraId="445CE79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退役阶段：项目功能终止或土地用途变更时的处置。此阶段是智慧管护体系的收尾期，需做好资产和数据的妥善处置。</w:t>
      </w:r>
    </w:p>
    <w:p w14:paraId="7890A510">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42" w:name="_Toc14327"/>
      <w:r>
        <w:rPr>
          <w:rFonts w:hint="eastAsia" w:ascii="Times New Roman" w:hAnsi="Times New Roman" w:eastAsia="黑体" w:cs="黑体"/>
          <w:b/>
          <w:bCs/>
          <w:kern w:val="21"/>
        </w:rPr>
        <w:t xml:space="preserve">4.3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基础设施</w:t>
      </w:r>
      <w:bookmarkEnd w:id="42"/>
    </w:p>
    <w:p w14:paraId="682EAAC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应建设覆盖项目区的集约化、智能化信息通信基础设施，包括但不限于：</w:t>
      </w:r>
    </w:p>
    <w:p w14:paraId="63A3274F">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 xml:space="preserve">a) </w:t>
      </w:r>
      <w:r>
        <w:rPr>
          <w:rFonts w:hint="eastAsia" w:ascii="Times New Roman" w:hAnsi="Times New Roman"/>
          <w:szCs w:val="24"/>
          <w:lang w:eastAsia="zh-CN"/>
        </w:rPr>
        <w:t>通信网络：</w:t>
      </w:r>
      <w:r>
        <w:rPr>
          <w:rFonts w:hint="eastAsia" w:ascii="Times New Roman" w:hAnsi="Times New Roman"/>
          <w:szCs w:val="24"/>
        </w:rPr>
        <w:t>通信网络应满足物联网设备接入需求，网络架构与安全设计应符合GB/T 44985.1的相关规定</w:t>
      </w:r>
      <w:r>
        <w:rPr>
          <w:rFonts w:hint="eastAsia" w:ascii="Times New Roman" w:hAnsi="Times New Roman"/>
          <w:szCs w:val="24"/>
          <w:lang w:eastAsia="zh-CN"/>
        </w:rPr>
        <w:t>；</w:t>
      </w:r>
    </w:p>
    <w:p w14:paraId="2A47F877">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感知设备：部署于田间的各类智能感知</w:t>
      </w:r>
      <w:r>
        <w:rPr>
          <w:rFonts w:hint="eastAsia" w:ascii="Times New Roman" w:hAnsi="Times New Roman"/>
          <w:szCs w:val="24"/>
          <w:lang w:eastAsia="zh-CN"/>
        </w:rPr>
        <w:t>设备</w:t>
      </w:r>
      <w:r>
        <w:rPr>
          <w:rFonts w:hint="eastAsia" w:ascii="Times New Roman" w:hAnsi="Times New Roman"/>
          <w:szCs w:val="24"/>
        </w:rPr>
        <w:t>与控制设备，其性能与接口应符合GB/T 34068</w:t>
      </w:r>
      <w:r>
        <w:rPr>
          <w:rFonts w:hint="eastAsia" w:ascii="Times New Roman" w:hAnsi="Times New Roman"/>
          <w:szCs w:val="24"/>
          <w:lang w:eastAsia="zh-CN"/>
        </w:rPr>
        <w:t>、</w:t>
      </w:r>
      <w:r>
        <w:rPr>
          <w:rFonts w:hint="eastAsia" w:ascii="Times New Roman" w:hAnsi="Times New Roman"/>
          <w:szCs w:val="24"/>
        </w:rPr>
        <w:t>GB/T 3406</w:t>
      </w:r>
      <w:r>
        <w:rPr>
          <w:rFonts w:hint="eastAsia" w:ascii="Times New Roman" w:hAnsi="Times New Roman"/>
          <w:szCs w:val="24"/>
          <w:lang w:val="en-US" w:eastAsia="zh-CN"/>
        </w:rPr>
        <w:t>9</w:t>
      </w:r>
      <w:r>
        <w:rPr>
          <w:rFonts w:hint="eastAsia" w:ascii="Times New Roman" w:hAnsi="Times New Roman"/>
          <w:szCs w:val="24"/>
          <w:lang w:eastAsia="zh-CN"/>
        </w:rPr>
        <w:t>及GB/T 44985.1</w:t>
      </w:r>
      <w:r>
        <w:rPr>
          <w:rFonts w:hint="eastAsia" w:ascii="Times New Roman" w:hAnsi="Times New Roman"/>
          <w:szCs w:val="24"/>
        </w:rPr>
        <w:t>的规定</w:t>
      </w:r>
      <w:r>
        <w:rPr>
          <w:rFonts w:hint="eastAsia" w:ascii="Times New Roman" w:hAnsi="Times New Roman"/>
          <w:szCs w:val="24"/>
          <w:lang w:eastAsia="zh-CN"/>
        </w:rPr>
        <w:t>；</w:t>
      </w:r>
    </w:p>
    <w:p w14:paraId="5ED44FC7">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c) 电力供应：建设稳定可靠的电力供应系统，为田间设备供电。宜优先采用太阳能光伏等绿色能源搭配蓄电池的供电方式，供电系统应能保证在阴雨天条件下设备正常工作不少于7天</w:t>
      </w:r>
      <w:r>
        <w:rPr>
          <w:rFonts w:hint="eastAsia" w:ascii="Times New Roman" w:hAnsi="Times New Roman"/>
          <w:szCs w:val="24"/>
          <w:lang w:eastAsia="zh-CN"/>
        </w:rPr>
        <w:t>；</w:t>
      </w:r>
    </w:p>
    <w:p w14:paraId="14D828F2">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d) 控制执行：安装可靠的远程控制执行设备，如智能阀门、水泵控制器、电动施肥机等，实现精准灌溉、施肥的自动执行</w:t>
      </w:r>
      <w:r>
        <w:rPr>
          <w:rFonts w:hint="eastAsia" w:ascii="Times New Roman" w:hAnsi="Times New Roman"/>
          <w:szCs w:val="24"/>
          <w:lang w:eastAsia="zh-CN"/>
        </w:rPr>
        <w:t>；</w:t>
      </w:r>
    </w:p>
    <w:p w14:paraId="73667FC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数据处理与存储：可建设本地化数据处理中心或使用云端服务，计算和存储资源应满足海量数据处理、模型运算和长期归档的需求</w:t>
      </w:r>
      <w:r>
        <w:rPr>
          <w:rFonts w:hint="eastAsia" w:ascii="Times New Roman" w:hAnsi="Times New Roman"/>
          <w:szCs w:val="24"/>
          <w:lang w:eastAsia="zh-CN"/>
        </w:rPr>
        <w:t>，数据处理与存储中心（可本地化部署或使用云端服务）的机房环境应满足GB 50174的规定</w:t>
      </w:r>
      <w:r>
        <w:rPr>
          <w:rFonts w:hint="eastAsia" w:ascii="Times New Roman" w:hAnsi="Times New Roman"/>
          <w:szCs w:val="24"/>
        </w:rPr>
        <w:t>。</w:t>
      </w:r>
    </w:p>
    <w:p w14:paraId="1D7AF2E3">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43" w:name="_Toc9884"/>
      <w:r>
        <w:rPr>
          <w:rFonts w:hint="eastAsia" w:ascii="Times New Roman" w:hAnsi="Times New Roman" w:eastAsia="黑体" w:cs="黑体"/>
          <w:b/>
          <w:bCs/>
          <w:kern w:val="21"/>
        </w:rPr>
        <w:t xml:space="preserve">4.4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组织与制度</w:t>
      </w:r>
      <w:bookmarkEnd w:id="43"/>
    </w:p>
    <w:p w14:paraId="3E925DE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应建立与智慧管护模式相适应的组织架构和管理制度，明确管护主体、责任人及其职责，制定智慧管护平台操作规程、数据管理制度、应急响应预案等。</w:t>
      </w:r>
    </w:p>
    <w:p w14:paraId="69B8FD71">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default" w:ascii="Times New Roman" w:hAnsi="Times New Roman" w:eastAsia="黑体"/>
          <w:b/>
          <w:bCs w:val="0"/>
          <w:kern w:val="44"/>
          <w:lang w:val="en-US" w:eastAsia="zh-CN"/>
        </w:rPr>
      </w:pPr>
      <w:bookmarkStart w:id="44" w:name="_Toc13566"/>
      <w:r>
        <w:rPr>
          <w:rFonts w:hint="default" w:ascii="Times New Roman" w:hAnsi="Times New Roman" w:eastAsia="黑体"/>
          <w:b/>
          <w:bCs w:val="0"/>
          <w:kern w:val="44"/>
          <w:lang w:val="en-US" w:eastAsia="zh-CN"/>
        </w:rPr>
        <w:t>前期阶段智慧管护要求</w:t>
      </w:r>
      <w:bookmarkEnd w:id="44"/>
    </w:p>
    <w:p w14:paraId="2A3DD015">
      <w:pPr>
        <w:keepNext/>
        <w:keepLines/>
        <w:tabs>
          <w:tab w:val="left" w:pos="420"/>
          <w:tab w:val="left" w:pos="540"/>
        </w:tabs>
        <w:adjustRightInd/>
        <w:spacing w:before="156" w:beforeLines="50" w:after="156" w:afterLines="50" w:line="240" w:lineRule="auto"/>
        <w:outlineLvl w:val="1"/>
        <w:rPr>
          <w:rFonts w:hint="default" w:ascii="Times New Roman" w:hAnsi="Times New Roman" w:eastAsia="黑体" w:cs="黑体"/>
          <w:b w:val="0"/>
          <w:bCs w:val="0"/>
          <w:kern w:val="21"/>
          <w:lang w:val="en-US" w:eastAsia="zh-CN"/>
        </w:rPr>
      </w:pPr>
      <w:bookmarkStart w:id="45" w:name="_Toc16670"/>
      <w:bookmarkStart w:id="46" w:name="_Toc20440"/>
      <w:r>
        <w:rPr>
          <w:rFonts w:hint="eastAsia" w:ascii="Times New Roman" w:hAnsi="Times New Roman" w:eastAsia="黑体" w:cs="黑体"/>
          <w:b/>
          <w:bCs/>
          <w:kern w:val="21"/>
        </w:rPr>
        <w:t>5.1</w:t>
      </w:r>
      <w:r>
        <w:rPr>
          <w:rFonts w:ascii="Times New Roman" w:hAnsi="Times New Roman" w:eastAsia="黑体" w:cs="黑体"/>
          <w:b w:val="0"/>
          <w:bCs w:val="0"/>
          <w:kern w:val="21"/>
        </w:rPr>
        <w:t xml:space="preserve">  </w:t>
      </w:r>
      <w:bookmarkEnd w:id="45"/>
      <w:r>
        <w:rPr>
          <w:rFonts w:hint="eastAsia" w:ascii="Times New Roman" w:hAnsi="Times New Roman" w:eastAsia="黑体" w:cs="黑体"/>
          <w:b w:val="0"/>
          <w:bCs w:val="0"/>
          <w:kern w:val="21"/>
          <w:lang w:val="en-US" w:eastAsia="zh-CN"/>
        </w:rPr>
        <w:t>规划与设计</w:t>
      </w:r>
      <w:bookmarkEnd w:id="46"/>
    </w:p>
    <w:p w14:paraId="772A99E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5.1.1 项目规划与设计除应符合GB/T 30600的要求外，还应同步进行智慧管护体系的顶层设计与详细设计。</w:t>
      </w:r>
    </w:p>
    <w:p w14:paraId="1688400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5.1.2 智慧管护设计应基于项目区的自然条件、种植制度、管理需求和经济水平，确保技术方案适用、先进、经济。应在设计阶段明确：</w:t>
      </w:r>
    </w:p>
    <w:p w14:paraId="368F1BA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系统总体架构与技术路线；</w:t>
      </w:r>
    </w:p>
    <w:p w14:paraId="0A621B4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感知层设备选型、布点密度与安装位置；</w:t>
      </w:r>
    </w:p>
    <w:p w14:paraId="3DAD540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网络层组网方案与覆盖要求；</w:t>
      </w:r>
    </w:p>
    <w:p w14:paraId="1B70E65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平台层功能模块、性能指标及与省级及以上平台的数据对接接口协议；</w:t>
      </w:r>
    </w:p>
    <w:p w14:paraId="786F3A5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信息安全与隐私保护方案；</w:t>
      </w:r>
    </w:p>
    <w:p w14:paraId="20FB8FE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f) 投资预算与运维成本分析。</w:t>
      </w:r>
    </w:p>
    <w:p w14:paraId="2001B7B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5.1.3 应基于高精度地理信息数据，在规划设计阶段构建农田初始数字孪生模型，用于方案模拟与优化。地理信息数据应采用GB/T 18316进行质量把控，平面坐标系宜采用GB 22021中规定的国家大地坐标系。</w:t>
      </w:r>
    </w:p>
    <w:p w14:paraId="16F847EA">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47" w:name="_Toc28286"/>
      <w:r>
        <w:rPr>
          <w:rFonts w:hint="eastAsia" w:ascii="Times New Roman" w:hAnsi="Times New Roman" w:eastAsia="黑体" w:cs="黑体"/>
          <w:b/>
          <w:bCs/>
          <w:kern w:val="21"/>
        </w:rPr>
        <w:t xml:space="preserve">5.2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工程验收</w:t>
      </w:r>
      <w:bookmarkEnd w:id="47"/>
    </w:p>
    <w:p w14:paraId="2F66694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5.2.1 验收应成立专门小组，对智慧化部分的硬件、软件和数据进行独立验收。验收应在土建、水利等工程验收合格的基础上进行。</w:t>
      </w:r>
    </w:p>
    <w:p w14:paraId="76C36CA6">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5.2.2 硬件验收应依据设计图纸和设备技术规范</w:t>
      </w:r>
      <w:r>
        <w:rPr>
          <w:rFonts w:hint="eastAsia" w:ascii="Times New Roman" w:hAnsi="Times New Roman"/>
          <w:szCs w:val="24"/>
          <w:lang w:eastAsia="zh-CN"/>
        </w:rPr>
        <w:t>及相关标准进行。气象监测设备验收应符合GB/T 33703的规定，水资源监测设备验收应符合SL/T 42</w:t>
      </w:r>
      <w:r>
        <w:rPr>
          <w:rFonts w:hint="eastAsia" w:ascii="Times New Roman" w:hAnsi="Times New Roman"/>
          <w:szCs w:val="24"/>
          <w:lang w:val="en-US" w:eastAsia="zh-CN"/>
        </w:rPr>
        <w:t>6</w:t>
      </w:r>
      <w:r>
        <w:rPr>
          <w:rFonts w:hint="eastAsia" w:ascii="Times New Roman" w:hAnsi="Times New Roman"/>
          <w:szCs w:val="24"/>
          <w:lang w:eastAsia="zh-CN"/>
        </w:rPr>
        <w:t>的规定，视频监控设备接入协议应符合GB/T 2818</w:t>
      </w:r>
      <w:r>
        <w:rPr>
          <w:rFonts w:hint="eastAsia" w:ascii="Times New Roman" w:hAnsi="Times New Roman"/>
          <w:szCs w:val="24"/>
          <w:lang w:val="en-US" w:eastAsia="zh-CN"/>
        </w:rPr>
        <w:t xml:space="preserve"> 的规定，</w:t>
      </w:r>
      <w:r>
        <w:rPr>
          <w:rFonts w:hint="eastAsia" w:ascii="Times New Roman" w:hAnsi="Times New Roman"/>
          <w:szCs w:val="24"/>
          <w:lang w:eastAsia="zh-CN"/>
        </w:rPr>
        <w:t>确保设备性能、安装位置、防护等级符合设计要求。</w:t>
      </w:r>
    </w:p>
    <w:p w14:paraId="4F8487B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5.2.3 软件平台验收应进行功能符合性测试、性能压力测试和安全性评估</w:t>
      </w:r>
      <w:r>
        <w:rPr>
          <w:rFonts w:hint="eastAsia" w:ascii="Times New Roman" w:hAnsi="Times New Roman"/>
          <w:szCs w:val="24"/>
          <w:lang w:eastAsia="zh-CN"/>
        </w:rPr>
        <w:t>，并应</w:t>
      </w:r>
      <w:r>
        <w:rPr>
          <w:rFonts w:hint="eastAsia" w:ascii="Times New Roman" w:hAnsi="Times New Roman"/>
          <w:szCs w:val="24"/>
        </w:rPr>
        <w:t>实现本标准第6章规定的所有核心功能</w:t>
      </w:r>
      <w:r>
        <w:rPr>
          <w:rFonts w:hint="eastAsia" w:ascii="Times New Roman" w:hAnsi="Times New Roman"/>
          <w:szCs w:val="24"/>
          <w:lang w:eastAsia="zh-CN"/>
        </w:rPr>
        <w:t>。数据接口应符合GB/T 43443的规定，</w:t>
      </w:r>
      <w:r>
        <w:rPr>
          <w:rFonts w:hint="eastAsia" w:ascii="Times New Roman" w:hAnsi="Times New Roman"/>
          <w:szCs w:val="24"/>
        </w:rPr>
        <w:t>并完成与省级及以上农田建设管理平台的对接。验收时应提供完整的系统测试报告和数据接口文档</w:t>
      </w:r>
      <w:r>
        <w:rPr>
          <w:rFonts w:hint="eastAsia" w:ascii="Times New Roman" w:hAnsi="Times New Roman"/>
          <w:szCs w:val="24"/>
          <w:lang w:eastAsia="zh-CN"/>
        </w:rPr>
        <w:t>，包括</w:t>
      </w:r>
      <w:r>
        <w:rPr>
          <w:rFonts w:hint="eastAsia" w:ascii="Times New Roman" w:hAnsi="Times New Roman"/>
          <w:szCs w:val="24"/>
        </w:rPr>
        <w:t>：</w:t>
      </w:r>
    </w:p>
    <w:p w14:paraId="4E3C38F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系统设计方案、数据库设计文档；</w:t>
      </w:r>
    </w:p>
    <w:p w14:paraId="6D99B46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用户操作手册、管理员运维手册；</w:t>
      </w:r>
    </w:p>
    <w:p w14:paraId="4A518C1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数据接口协议文档；</w:t>
      </w:r>
    </w:p>
    <w:p w14:paraId="2A59256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第三方测试报告（如有）；</w:t>
      </w:r>
    </w:p>
    <w:p w14:paraId="272C2F8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数据字典及初始数据入库证明。</w:t>
      </w:r>
    </w:p>
    <w:p w14:paraId="26BEADD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5.2.4 验收交付物应包括完整的竣工图纸（含设备点位图、网络拓扑图）、软硬件清单、所有账号权限、运维所需的全部技术资料和培训记录。</w:t>
      </w:r>
    </w:p>
    <w:p w14:paraId="6112C83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48" w:name="_Toc16735"/>
      <w:r>
        <w:rPr>
          <w:rFonts w:hint="eastAsia" w:ascii="Times New Roman" w:hAnsi="Times New Roman" w:eastAsia="黑体"/>
          <w:b/>
          <w:bCs w:val="0"/>
          <w:kern w:val="44"/>
          <w:lang w:val="en-US" w:eastAsia="zh-CN"/>
        </w:rPr>
        <w:t>运维阶段智慧管护要求</w:t>
      </w:r>
      <w:bookmarkEnd w:id="48"/>
    </w:p>
    <w:p w14:paraId="549968A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49" w:name="_Toc12731"/>
      <w:bookmarkStart w:id="50" w:name="_Toc1778"/>
      <w:r>
        <w:rPr>
          <w:rFonts w:hint="eastAsia" w:ascii="Times New Roman" w:hAnsi="Times New Roman" w:eastAsia="黑体" w:cs="黑体"/>
          <w:b/>
          <w:bCs/>
          <w:kern w:val="21"/>
        </w:rPr>
        <w:t>6.1</w:t>
      </w:r>
      <w:r>
        <w:rPr>
          <w:rFonts w:hint="eastAsia" w:ascii="Times New Roman" w:hAnsi="Times New Roman" w:eastAsia="黑体" w:cs="黑体"/>
          <w:b/>
          <w:bCs/>
          <w:kern w:val="21"/>
          <w:lang w:val="en-US" w:eastAsia="zh-CN"/>
        </w:rPr>
        <w:t xml:space="preserve">  </w:t>
      </w:r>
      <w:bookmarkEnd w:id="49"/>
      <w:r>
        <w:rPr>
          <w:rFonts w:hint="eastAsia" w:ascii="Times New Roman" w:hAnsi="Times New Roman" w:eastAsia="黑体" w:cs="黑体"/>
          <w:b w:val="0"/>
          <w:bCs w:val="0"/>
          <w:kern w:val="21"/>
          <w:lang w:val="en-US" w:eastAsia="zh-CN"/>
        </w:rPr>
        <w:t>智慧感知</w:t>
      </w:r>
      <w:bookmarkEnd w:id="50"/>
    </w:p>
    <w:p w14:paraId="5481248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6.1.1 应构建“空-天-地”一体化的立体感知体系</w:t>
      </w:r>
      <w:r>
        <w:rPr>
          <w:rFonts w:hint="eastAsia" w:ascii="Times New Roman" w:hAnsi="Times New Roman"/>
          <w:szCs w:val="24"/>
          <w:lang w:eastAsia="zh-CN"/>
        </w:rPr>
        <w:t>，对农田环境、作物生长、基础设施状态进行实时监测</w:t>
      </w:r>
      <w:r>
        <w:rPr>
          <w:rFonts w:hint="eastAsia" w:ascii="Times New Roman" w:hAnsi="Times New Roman"/>
          <w:szCs w:val="24"/>
        </w:rPr>
        <w:t>。监测点建设</w:t>
      </w:r>
      <w:r>
        <w:rPr>
          <w:rFonts w:hint="eastAsia" w:ascii="Times New Roman" w:hAnsi="Times New Roman"/>
          <w:szCs w:val="24"/>
          <w:lang w:eastAsia="zh-CN"/>
        </w:rPr>
        <w:t>除了</w:t>
      </w:r>
      <w:r>
        <w:rPr>
          <w:rFonts w:hint="eastAsia" w:ascii="Times New Roman" w:hAnsi="Times New Roman"/>
          <w:szCs w:val="24"/>
        </w:rPr>
        <w:t>应符合NY/T 1782</w:t>
      </w:r>
      <w:r>
        <w:rPr>
          <w:rFonts w:hint="eastAsia" w:ascii="Times New Roman" w:hAnsi="Times New Roman"/>
          <w:szCs w:val="24"/>
          <w:lang w:eastAsia="zh-CN"/>
        </w:rPr>
        <w:t>和</w:t>
      </w:r>
      <w:r>
        <w:rPr>
          <w:rFonts w:hint="eastAsia" w:ascii="Times New Roman" w:hAnsi="Times New Roman"/>
          <w:szCs w:val="24"/>
        </w:rPr>
        <w:t>NY/T 395</w:t>
      </w:r>
      <w:r>
        <w:rPr>
          <w:rFonts w:hint="eastAsia" w:ascii="Times New Roman" w:hAnsi="Times New Roman"/>
          <w:szCs w:val="24"/>
          <w:lang w:eastAsia="zh-CN"/>
        </w:rPr>
        <w:t>的规定外</w:t>
      </w:r>
      <w:r>
        <w:rPr>
          <w:rFonts w:hint="eastAsia" w:ascii="Times New Roman" w:hAnsi="Times New Roman"/>
          <w:szCs w:val="24"/>
        </w:rPr>
        <w:t>，还应定期对传感器进行校准和维护，确保数据长期准确性。监测内容</w:t>
      </w:r>
      <w:r>
        <w:rPr>
          <w:rFonts w:hint="eastAsia" w:ascii="Times New Roman" w:hAnsi="Times New Roman"/>
          <w:szCs w:val="24"/>
          <w:lang w:eastAsia="zh-CN"/>
        </w:rPr>
        <w:t>应</w:t>
      </w:r>
      <w:r>
        <w:rPr>
          <w:rFonts w:hint="eastAsia" w:ascii="Times New Roman" w:hAnsi="Times New Roman"/>
          <w:szCs w:val="24"/>
        </w:rPr>
        <w:t>在4.3.1基础上扩展</w:t>
      </w:r>
      <w:r>
        <w:rPr>
          <w:rFonts w:hint="eastAsia" w:ascii="Times New Roman" w:hAnsi="Times New Roman"/>
          <w:szCs w:val="24"/>
          <w:lang w:eastAsia="zh-CN"/>
        </w:rPr>
        <w:t>如下内容</w:t>
      </w:r>
      <w:r>
        <w:rPr>
          <w:rFonts w:hint="eastAsia" w:ascii="Times New Roman" w:hAnsi="Times New Roman"/>
          <w:szCs w:val="24"/>
        </w:rPr>
        <w:t>：</w:t>
      </w:r>
    </w:p>
    <w:p w14:paraId="39C483F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a</w:t>
      </w:r>
      <w:r>
        <w:rPr>
          <w:rFonts w:hint="eastAsia" w:ascii="Times New Roman" w:hAnsi="Times New Roman"/>
          <w:szCs w:val="24"/>
        </w:rPr>
        <w:t>) 气象信息：增加蒸发量、光合有效辐射等</w:t>
      </w:r>
      <w:r>
        <w:rPr>
          <w:rFonts w:hint="eastAsia" w:ascii="Times New Roman" w:hAnsi="Times New Roman"/>
          <w:szCs w:val="24"/>
          <w:lang w:eastAsia="zh-CN"/>
        </w:rPr>
        <w:t>；</w:t>
      </w:r>
    </w:p>
    <w:p w14:paraId="13F3F9A7">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b</w:t>
      </w:r>
      <w:r>
        <w:rPr>
          <w:rFonts w:hint="eastAsia" w:ascii="Times New Roman" w:hAnsi="Times New Roman"/>
          <w:szCs w:val="24"/>
        </w:rPr>
        <w:t>) 水质信息：对灌溉水源的pH、浊度、总氮、总磷等进行定期监测</w:t>
      </w:r>
      <w:r>
        <w:rPr>
          <w:rFonts w:hint="eastAsia" w:ascii="Times New Roman" w:hAnsi="Times New Roman"/>
          <w:szCs w:val="24"/>
          <w:lang w:eastAsia="zh-CN"/>
        </w:rPr>
        <w:t>；</w:t>
      </w:r>
    </w:p>
    <w:p w14:paraId="62A8C018">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c</w:t>
      </w:r>
      <w:r>
        <w:rPr>
          <w:rFonts w:hint="eastAsia" w:ascii="Times New Roman" w:hAnsi="Times New Roman"/>
          <w:szCs w:val="24"/>
        </w:rPr>
        <w:t>) 灾情信息：通过视频监控识别洪涝、冰雹等灾害迹象。</w:t>
      </w:r>
    </w:p>
    <w:p w14:paraId="40C0770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6.1.2 监测数据采集频率应可配置。平台应支持根据不同农事季节和作物类型，动态调整数据采集频率。</w:t>
      </w:r>
    </w:p>
    <w:p w14:paraId="68464268">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1" w:name="_Toc23427"/>
      <w:r>
        <w:rPr>
          <w:rFonts w:hint="eastAsia" w:ascii="Times New Roman" w:hAnsi="Times New Roman" w:eastAsia="黑体" w:cs="黑体"/>
          <w:b/>
          <w:bCs/>
          <w:kern w:val="21"/>
        </w:rPr>
        <w:t xml:space="preserve">6.2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数据传输与存储</w:t>
      </w:r>
      <w:bookmarkEnd w:id="51"/>
    </w:p>
    <w:p w14:paraId="3C680A6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6.2.1 数据传输应稳定可靠，支持断线续传。通信协议宜采用MQTT、CoAP等物联网标准协议</w:t>
      </w:r>
      <w:r>
        <w:rPr>
          <w:rFonts w:hint="eastAsia" w:ascii="Times New Roman" w:hAnsi="Times New Roman"/>
          <w:szCs w:val="24"/>
          <w:lang w:eastAsia="zh-CN"/>
        </w:rPr>
        <w:t>，并应符合GB/T 38637.1的规定</w:t>
      </w:r>
      <w:r>
        <w:rPr>
          <w:rFonts w:hint="eastAsia" w:ascii="Times New Roman" w:hAnsi="Times New Roman"/>
          <w:szCs w:val="24"/>
        </w:rPr>
        <w:t>。</w:t>
      </w:r>
    </w:p>
    <w:p w14:paraId="742E51A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6.2.2 数据存储应建立分类分级制度。原始监测数据、告警数据、操作日志等应全量长期存储。视频、图片等大数据可采用分期存储策略。</w:t>
      </w:r>
    </w:p>
    <w:p w14:paraId="6CF745AB">
      <w:pPr>
        <w:adjustRightInd/>
        <w:spacing w:line="360" w:lineRule="auto"/>
        <w:ind w:firstLine="420" w:firstLineChars="200"/>
        <w:rPr>
          <w:rFonts w:hint="default" w:ascii="Times New Roman" w:hAnsi="Times New Roman" w:eastAsia="宋体"/>
          <w:szCs w:val="24"/>
          <w:lang w:val="en-US" w:eastAsia="zh-CN"/>
        </w:rPr>
      </w:pPr>
      <w:r>
        <w:rPr>
          <w:rFonts w:hint="eastAsia" w:ascii="Times New Roman" w:hAnsi="Times New Roman"/>
          <w:szCs w:val="24"/>
          <w:lang w:val="en-US" w:eastAsia="zh-CN"/>
        </w:rPr>
        <w:t>6.2.3 数据安全管理应符合GB/T 22239中关于物联网安全扩展的规定。重要数据备份与恢复策略应符合GB/T 20988的规定。</w:t>
      </w:r>
    </w:p>
    <w:p w14:paraId="467F8C0A">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2" w:name="_Toc3619"/>
      <w:r>
        <w:rPr>
          <w:rFonts w:hint="eastAsia" w:ascii="Times New Roman" w:hAnsi="Times New Roman" w:eastAsia="黑体" w:cs="黑体"/>
          <w:b/>
          <w:bCs/>
          <w:kern w:val="21"/>
        </w:rPr>
        <w:t xml:space="preserve">6.3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智能预警与调控</w:t>
      </w:r>
      <w:bookmarkEnd w:id="52"/>
    </w:p>
    <w:p w14:paraId="054CC5A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6.3.1 平台预警功能应支持多条件组合触发机制（如“连续2小时土壤湿度低于50%且未来24小时无降水”）。预警信息应通过平台界面、短信、APP推送等多种方式送达责任人，并跟踪处理闭环。</w:t>
      </w:r>
    </w:p>
    <w:p w14:paraId="705C0597">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6.3.2 智能控制应支持</w:t>
      </w:r>
      <w:r>
        <w:rPr>
          <w:rFonts w:hint="eastAsia" w:ascii="Times New Roman" w:hAnsi="Times New Roman"/>
          <w:szCs w:val="24"/>
          <w:lang w:eastAsia="zh-CN"/>
        </w:rPr>
        <w:t>如下</w:t>
      </w:r>
      <w:r>
        <w:rPr>
          <w:rFonts w:hint="eastAsia" w:ascii="Times New Roman" w:hAnsi="Times New Roman"/>
          <w:szCs w:val="24"/>
        </w:rPr>
        <w:t>多种模式</w:t>
      </w:r>
      <w:r>
        <w:rPr>
          <w:rFonts w:hint="eastAsia" w:ascii="Times New Roman" w:hAnsi="Times New Roman"/>
          <w:szCs w:val="24"/>
          <w:lang w:eastAsia="zh-CN"/>
        </w:rPr>
        <w:t>，</w:t>
      </w:r>
    </w:p>
    <w:p w14:paraId="7ECA926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手动模式：人工远程点击操作。</w:t>
      </w:r>
    </w:p>
    <w:p w14:paraId="751AE43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自动模式：基于预设规则（如定时、定周期）执行。</w:t>
      </w:r>
    </w:p>
    <w:p w14:paraId="3C7E3D3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智能模式：基于AI模型决策结果自动执行（如根据土壤墒情和预报自动启动灌溉）。</w:t>
      </w:r>
    </w:p>
    <w:p w14:paraId="4DEC100C">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6.3.3 </w:t>
      </w:r>
      <w:r>
        <w:rPr>
          <w:rFonts w:hint="eastAsia" w:ascii="Times New Roman" w:hAnsi="Times New Roman"/>
          <w:szCs w:val="24"/>
        </w:rPr>
        <w:t>启用智能模式前需进行充分验证，并设置人工监督和紧急干预机制。</w:t>
      </w:r>
    </w:p>
    <w:p w14:paraId="3CAD856B">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53" w:name="_Toc17599"/>
      <w:r>
        <w:rPr>
          <w:rFonts w:hint="eastAsia" w:ascii="Times New Roman" w:hAnsi="Times New Roman" w:eastAsia="黑体" w:cs="黑体"/>
          <w:b/>
          <w:bCs/>
          <w:kern w:val="21"/>
        </w:rPr>
        <w:t xml:space="preserve">6.4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智慧决策与管理</w:t>
      </w:r>
      <w:bookmarkEnd w:id="53"/>
    </w:p>
    <w:p w14:paraId="1E2129E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6.4.1 应建立高标准农田专题数据库，数据分类与治理应</w:t>
      </w:r>
      <w:r>
        <w:rPr>
          <w:rFonts w:hint="eastAsia" w:ascii="Times New Roman" w:hAnsi="Times New Roman"/>
          <w:szCs w:val="24"/>
          <w:lang w:eastAsia="zh-CN"/>
        </w:rPr>
        <w:t>符合</w:t>
      </w:r>
      <w:r>
        <w:rPr>
          <w:rFonts w:hint="eastAsia" w:ascii="Times New Roman" w:hAnsi="Times New Roman"/>
          <w:szCs w:val="24"/>
        </w:rPr>
        <w:t>GB/T 38667</w:t>
      </w:r>
      <w:r>
        <w:rPr>
          <w:rFonts w:hint="eastAsia" w:ascii="Times New Roman" w:hAnsi="Times New Roman"/>
          <w:szCs w:val="24"/>
          <w:lang w:eastAsia="zh-CN"/>
        </w:rPr>
        <w:t>的规定</w:t>
      </w:r>
      <w:r>
        <w:rPr>
          <w:rFonts w:hint="eastAsia" w:ascii="Times New Roman" w:hAnsi="Times New Roman"/>
          <w:szCs w:val="24"/>
        </w:rPr>
        <w:t>，建立数据质量标准，数据质量评价可参照GB/T 36344执行。</w:t>
      </w:r>
    </w:p>
    <w:p w14:paraId="26506CB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6.4.2 决策支持功能应深度结合农艺知识：</w:t>
      </w:r>
    </w:p>
    <w:p w14:paraId="301A8DC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灌溉决策：融合作物需水规律、实时墒情、气象预报（未来72小时）、水源可用量等，推荐灌溉时机、灌水量和轮灌方案</w:t>
      </w:r>
      <w:r>
        <w:rPr>
          <w:rFonts w:hint="eastAsia" w:ascii="Times New Roman" w:hAnsi="Times New Roman"/>
          <w:szCs w:val="24"/>
          <w:lang w:eastAsia="zh-CN"/>
        </w:rPr>
        <w:t>；</w:t>
      </w:r>
    </w:p>
    <w:p w14:paraId="71534DDD">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施肥决策：结合土壤养分图、作物目标产量、阶段需肥特性，生成变量施肥处方图，并可驱动施肥机执行</w:t>
      </w:r>
      <w:r>
        <w:rPr>
          <w:rFonts w:hint="eastAsia" w:ascii="Times New Roman" w:hAnsi="Times New Roman"/>
          <w:szCs w:val="24"/>
          <w:lang w:eastAsia="zh-CN"/>
        </w:rPr>
        <w:t>；</w:t>
      </w:r>
    </w:p>
    <w:p w14:paraId="5A2DE68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病虫害防治：集成图像识别和气象模型，早期识别病虫害，并推荐生态防控和化学防治相结合的综合方案。</w:t>
      </w:r>
    </w:p>
    <w:p w14:paraId="336A3B4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6.4.3 数字孪生模型应定期利用最新监测数据和高频遥感数据更新，不断提高模型精度，用于模拟不同管理策略下的作物产量、水肥利用效率和经济效益，为优化管护方案提供可视化支撑。</w:t>
      </w:r>
    </w:p>
    <w:p w14:paraId="61B40A4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4" w:name="_Toc22309"/>
      <w:r>
        <w:rPr>
          <w:rFonts w:hint="eastAsia" w:ascii="Times New Roman" w:hAnsi="Times New Roman" w:eastAsia="黑体" w:cs="黑体"/>
          <w:b/>
          <w:bCs/>
          <w:kern w:val="21"/>
        </w:rPr>
        <w:t xml:space="preserve">6.5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运行维护</w:t>
      </w:r>
      <w:bookmarkEnd w:id="54"/>
    </w:p>
    <w:p w14:paraId="2C6417E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6.5.1 应建立定期巡检、预防性维护和故障应急响应制度。制定维护计划，内容包括：</w:t>
      </w:r>
    </w:p>
    <w:p w14:paraId="28A1904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日常巡检：每周通过平台远程检查设备在线率和数据有效性。</w:t>
      </w:r>
    </w:p>
    <w:p w14:paraId="550F6C2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现场巡检：每月至少一次现场检查设备物理状态、清洁传感器、检查供电系统。</w:t>
      </w:r>
    </w:p>
    <w:p w14:paraId="4B66C66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定期维护：每季度对关键设备进行性能检测和校准；每年汛期前、冬季来临前进行专项检查。</w:t>
      </w:r>
    </w:p>
    <w:p w14:paraId="427E9AF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维护记录：所有维护活动需详细记录并存档，形成设备健康档案。</w:t>
      </w:r>
    </w:p>
    <w:p w14:paraId="2FAF23F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6.5.2 软件平台应建立版本管理制度，定期更新和打补丁。每次更新前需在测试环境充分验证，并做好数据和配置的备份。</w:t>
      </w:r>
    </w:p>
    <w:p w14:paraId="4A32FACC">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55" w:name="_Toc22580"/>
      <w:r>
        <w:rPr>
          <w:rFonts w:hint="eastAsia" w:ascii="Times New Roman" w:hAnsi="Times New Roman" w:eastAsia="黑体"/>
          <w:b/>
          <w:bCs w:val="0"/>
          <w:kern w:val="44"/>
          <w:lang w:val="en-US" w:eastAsia="zh-CN"/>
        </w:rPr>
        <w:t>退役阶段智慧管护要求</w:t>
      </w:r>
      <w:bookmarkEnd w:id="55"/>
    </w:p>
    <w:p w14:paraId="28079F1E">
      <w:pPr>
        <w:keepNext/>
        <w:keepLines/>
        <w:tabs>
          <w:tab w:val="left" w:pos="420"/>
          <w:tab w:val="left" w:pos="540"/>
        </w:tabs>
        <w:adjustRightInd/>
        <w:spacing w:before="156" w:beforeLines="50" w:after="156" w:afterLines="50" w:line="240" w:lineRule="auto"/>
        <w:outlineLvl w:val="1"/>
        <w:rPr>
          <w:rFonts w:hint="eastAsia" w:ascii="Times New Roman" w:hAnsi="Times New Roman"/>
          <w:szCs w:val="24"/>
        </w:rPr>
      </w:pPr>
      <w:bookmarkStart w:id="56" w:name="_Toc29787"/>
      <w:bookmarkStart w:id="57" w:name="_Toc23408"/>
      <w:r>
        <w:rPr>
          <w:rFonts w:hint="default" w:ascii="Times New Roman" w:hAnsi="Times New Roman" w:eastAsia="黑体" w:cs="黑体"/>
          <w:b/>
          <w:bCs/>
          <w:kern w:val="21"/>
        </w:rPr>
        <w:t>7.1</w:t>
      </w:r>
      <w:r>
        <w:rPr>
          <w:rFonts w:hint="default" w:ascii="Times New Roman" w:hAnsi="Times New Roman" w:eastAsia="黑体" w:cs="黑体"/>
          <w:b/>
          <w:bCs/>
          <w:kern w:val="21"/>
          <w:lang w:val="en-US" w:eastAsia="zh-CN"/>
        </w:rPr>
        <w:t xml:space="preserve">  </w:t>
      </w:r>
      <w:bookmarkEnd w:id="56"/>
      <w:r>
        <w:rPr>
          <w:rFonts w:hint="default" w:ascii="Times New Roman" w:hAnsi="Times New Roman" w:eastAsia="黑体" w:cs="黑体"/>
          <w:b w:val="0"/>
          <w:bCs w:val="0"/>
          <w:kern w:val="21"/>
        </w:rPr>
        <w:t>退役评估与方案制定</w:t>
      </w:r>
      <w:bookmarkEnd w:id="57"/>
    </w:p>
    <w:p w14:paraId="1D5142E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在项目终止运行前，应由管护主体组织专家进行评估，明确退役原因、条件和范围。在此基础上，制定详细的《智慧管护系统退役实施方案》，内容</w:t>
      </w:r>
      <w:r>
        <w:rPr>
          <w:rFonts w:hint="eastAsia" w:ascii="Times New Roman" w:hAnsi="Times New Roman"/>
          <w:szCs w:val="24"/>
          <w:lang w:eastAsia="zh-CN"/>
        </w:rPr>
        <w:t>至少应</w:t>
      </w:r>
      <w:r>
        <w:rPr>
          <w:rFonts w:hint="eastAsia" w:ascii="Times New Roman" w:hAnsi="Times New Roman"/>
          <w:szCs w:val="24"/>
        </w:rPr>
        <w:t>包括：退役范围、时间计划、人员分工、硬件处置办法、数据迁移/销毁方案、预算、安全与环保措施等。</w:t>
      </w:r>
    </w:p>
    <w:p w14:paraId="12DB7F44">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8" w:name="_Toc28912"/>
      <w:r>
        <w:rPr>
          <w:rFonts w:hint="eastAsia" w:ascii="Times New Roman" w:hAnsi="Times New Roman" w:eastAsia="黑体" w:cs="黑体"/>
          <w:b/>
          <w:bCs/>
          <w:kern w:val="21"/>
        </w:rPr>
        <w:t xml:space="preserve">7.2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硬件处置</w:t>
      </w:r>
      <w:bookmarkEnd w:id="58"/>
    </w:p>
    <w:p w14:paraId="6075166A">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7.2.1 </w:t>
      </w:r>
      <w:r>
        <w:rPr>
          <w:rFonts w:hint="eastAsia" w:ascii="Times New Roman" w:hAnsi="Times New Roman"/>
          <w:szCs w:val="24"/>
        </w:rPr>
        <w:t>拆除</w:t>
      </w:r>
    </w:p>
    <w:p w14:paraId="5C3DCA0C">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eastAsia="zh-CN"/>
        </w:rPr>
        <w:t>应</w:t>
      </w:r>
      <w:r>
        <w:rPr>
          <w:rFonts w:hint="eastAsia" w:ascii="Times New Roman" w:hAnsi="Times New Roman"/>
          <w:szCs w:val="24"/>
        </w:rPr>
        <w:t>由专业人员按规程安全拆除所有智慧设备及配套基础设施。</w:t>
      </w:r>
    </w:p>
    <w:p w14:paraId="196088B9">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7.2.2 </w:t>
      </w:r>
      <w:r>
        <w:rPr>
          <w:rFonts w:hint="eastAsia" w:ascii="Times New Roman" w:hAnsi="Times New Roman"/>
          <w:szCs w:val="24"/>
        </w:rPr>
        <w:t>检测与分类</w:t>
      </w:r>
    </w:p>
    <w:p w14:paraId="49C79D3C">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eastAsia="zh-CN"/>
        </w:rPr>
        <w:t>应</w:t>
      </w:r>
      <w:r>
        <w:rPr>
          <w:rFonts w:hint="eastAsia" w:ascii="Times New Roman" w:hAnsi="Times New Roman"/>
          <w:szCs w:val="24"/>
        </w:rPr>
        <w:t>对拆除设备进行检测，分为可再利用、可维修后利用和报废三类。</w:t>
      </w:r>
    </w:p>
    <w:p w14:paraId="5A47A4FC">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7.2.3 </w:t>
      </w:r>
      <w:r>
        <w:rPr>
          <w:rFonts w:hint="eastAsia" w:ascii="Times New Roman" w:hAnsi="Times New Roman"/>
          <w:szCs w:val="24"/>
        </w:rPr>
        <w:t>处置</w:t>
      </w:r>
    </w:p>
    <w:p w14:paraId="0D91B3F7">
      <w:pPr>
        <w:adjustRightInd/>
        <w:spacing w:line="360" w:lineRule="auto"/>
        <w:ind w:firstLine="420" w:firstLineChars="200"/>
        <w:rPr>
          <w:rFonts w:hint="eastAsia" w:ascii="Times New Roman" w:hAnsi="Times New Roman"/>
          <w:szCs w:val="24"/>
          <w:lang w:eastAsia="zh-CN"/>
        </w:rPr>
      </w:pPr>
      <w:r>
        <w:rPr>
          <w:rFonts w:hint="eastAsia" w:ascii="Times New Roman" w:hAnsi="Times New Roman"/>
          <w:szCs w:val="24"/>
          <w:lang w:eastAsia="zh-CN"/>
        </w:rPr>
        <w:t>应将</w:t>
      </w:r>
      <w:r>
        <w:rPr>
          <w:rFonts w:hint="eastAsia" w:ascii="Times New Roman" w:hAnsi="Times New Roman"/>
          <w:szCs w:val="24"/>
        </w:rPr>
        <w:t>可再利用设备移交至其他项目并登记入库；报废设备</w:t>
      </w:r>
      <w:r>
        <w:rPr>
          <w:rFonts w:hint="eastAsia" w:ascii="Times New Roman" w:hAnsi="Times New Roman"/>
          <w:szCs w:val="24"/>
          <w:lang w:eastAsia="zh-CN"/>
        </w:rPr>
        <w:t>应</w:t>
      </w:r>
      <w:r>
        <w:rPr>
          <w:rFonts w:hint="eastAsia" w:ascii="Times New Roman" w:hAnsi="Times New Roman"/>
          <w:szCs w:val="24"/>
        </w:rPr>
        <w:t>交由有资质的环保回收企业处理，</w:t>
      </w:r>
      <w:r>
        <w:rPr>
          <w:rFonts w:hint="eastAsia" w:ascii="Times New Roman" w:hAnsi="Times New Roman"/>
          <w:szCs w:val="24"/>
          <w:lang w:eastAsia="zh-CN"/>
        </w:rPr>
        <w:t>不应</w:t>
      </w:r>
      <w:r>
        <w:rPr>
          <w:rFonts w:hint="eastAsia" w:ascii="Times New Roman" w:hAnsi="Times New Roman"/>
          <w:szCs w:val="24"/>
        </w:rPr>
        <w:t>随意丢弃造成环境污染。整个过程应记录形成《资产处置清单》。</w:t>
      </w:r>
    </w:p>
    <w:p w14:paraId="0B336E33">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9" w:name="_Toc31624"/>
      <w:r>
        <w:rPr>
          <w:rFonts w:hint="eastAsia" w:ascii="Times New Roman" w:hAnsi="Times New Roman" w:eastAsia="黑体" w:cs="黑体"/>
          <w:b/>
          <w:bCs/>
          <w:kern w:val="21"/>
        </w:rPr>
        <w:t xml:space="preserve">7.3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数据处置</w:t>
      </w:r>
      <w:bookmarkEnd w:id="59"/>
    </w:p>
    <w:p w14:paraId="757B50A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7.3.1 数据备份</w:t>
      </w:r>
    </w:p>
    <w:p w14:paraId="2861701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在处置前，</w:t>
      </w:r>
      <w:r>
        <w:rPr>
          <w:rFonts w:hint="eastAsia" w:ascii="Times New Roman" w:hAnsi="Times New Roman"/>
          <w:szCs w:val="24"/>
          <w:lang w:eastAsia="zh-CN"/>
        </w:rPr>
        <w:t>应</w:t>
      </w:r>
      <w:r>
        <w:rPr>
          <w:rFonts w:hint="eastAsia" w:ascii="Times New Roman" w:hAnsi="Times New Roman"/>
          <w:szCs w:val="24"/>
        </w:rPr>
        <w:t>对系统所有数据进行全量备份。</w:t>
      </w:r>
    </w:p>
    <w:p w14:paraId="766ADEB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7.3.2 数据迁移</w:t>
      </w:r>
    </w:p>
    <w:p w14:paraId="25AB9CE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对具有长期保存价值的历史数据（如</w:t>
      </w:r>
      <w:r>
        <w:rPr>
          <w:rFonts w:hint="eastAsia" w:ascii="Times New Roman" w:hAnsi="Times New Roman"/>
          <w:szCs w:val="24"/>
          <w:lang w:eastAsia="zh-CN"/>
        </w:rPr>
        <w:t>地理</w:t>
      </w:r>
      <w:r>
        <w:rPr>
          <w:rFonts w:hint="eastAsia" w:ascii="Times New Roman" w:hAnsi="Times New Roman"/>
          <w:szCs w:val="24"/>
        </w:rPr>
        <w:t>变迁数据、气象数据、产量数据等），</w:t>
      </w:r>
      <w:r>
        <w:rPr>
          <w:rFonts w:hint="eastAsia" w:ascii="Times New Roman" w:hAnsi="Times New Roman"/>
          <w:szCs w:val="24"/>
          <w:lang w:eastAsia="zh-CN"/>
        </w:rPr>
        <w:t>应</w:t>
      </w:r>
      <w:r>
        <w:rPr>
          <w:rFonts w:hint="eastAsia" w:ascii="Times New Roman" w:hAnsi="Times New Roman"/>
          <w:szCs w:val="24"/>
        </w:rPr>
        <w:t>经脱敏和格式化后，迁移至指定的上级数据中心或档案管理系统长期保存。</w:t>
      </w:r>
    </w:p>
    <w:p w14:paraId="46EDCC8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7.3.3 数据销毁</w:t>
      </w:r>
    </w:p>
    <w:p w14:paraId="7745630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敏感数据应按GB/T 37964进行去标识化处理，并按 ​GB/T 31500的相反程序进行安全销毁</w:t>
      </w:r>
      <w:r>
        <w:rPr>
          <w:rFonts w:hint="eastAsia" w:ascii="Times New Roman" w:hAnsi="Times New Roman"/>
          <w:szCs w:val="24"/>
          <w:lang w:eastAsia="zh-CN"/>
        </w:rPr>
        <w:t>，</w:t>
      </w:r>
      <w:r>
        <w:rPr>
          <w:rFonts w:hint="eastAsia" w:ascii="Times New Roman" w:hAnsi="Times New Roman"/>
          <w:szCs w:val="24"/>
        </w:rPr>
        <w:t>数据销毁过程</w:t>
      </w:r>
      <w:r>
        <w:rPr>
          <w:rFonts w:hint="eastAsia" w:ascii="Times New Roman" w:hAnsi="Times New Roman"/>
          <w:szCs w:val="24"/>
          <w:lang w:eastAsia="zh-CN"/>
        </w:rPr>
        <w:t>应</w:t>
      </w:r>
      <w:r>
        <w:rPr>
          <w:rFonts w:hint="eastAsia" w:ascii="Times New Roman" w:hAnsi="Times New Roman"/>
          <w:szCs w:val="24"/>
        </w:rPr>
        <w:t>记录并备案。</w:t>
      </w:r>
    </w:p>
    <w:p w14:paraId="50CA426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w:t>
      </w:r>
      <w:r>
        <w:rPr>
          <w:rFonts w:hint="eastAsia" w:ascii="Times New Roman" w:hAnsi="Times New Roman"/>
          <w:szCs w:val="24"/>
          <w:lang w:val="en-US" w:eastAsia="zh-CN"/>
        </w:rPr>
        <w:t>4</w:t>
      </w:r>
      <w:r>
        <w:rPr>
          <w:rFonts w:hint="eastAsia" w:ascii="Times New Roman" w:hAnsi="Times New Roman"/>
          <w:szCs w:val="24"/>
        </w:rPr>
        <w:t xml:space="preserve"> 系统下线</w:t>
      </w:r>
    </w:p>
    <w:p w14:paraId="5E5E6F3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完成数据处置后，</w:t>
      </w:r>
      <w:r>
        <w:rPr>
          <w:rFonts w:hint="eastAsia" w:ascii="Times New Roman" w:hAnsi="Times New Roman"/>
          <w:szCs w:val="24"/>
          <w:lang w:eastAsia="zh-CN"/>
        </w:rPr>
        <w:t>应</w:t>
      </w:r>
      <w:r>
        <w:rPr>
          <w:rFonts w:hint="eastAsia" w:ascii="Times New Roman" w:hAnsi="Times New Roman"/>
          <w:szCs w:val="24"/>
        </w:rPr>
        <w:t>关闭软件平台服务，释放服务器资源。</w:t>
      </w:r>
    </w:p>
    <w:p w14:paraId="4E049B4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0" w:name="_Toc16485"/>
      <w:r>
        <w:rPr>
          <w:rFonts w:hint="eastAsia" w:ascii="Times New Roman" w:hAnsi="Times New Roman" w:eastAsia="黑体" w:cs="黑体"/>
          <w:b/>
          <w:bCs/>
          <w:kern w:val="21"/>
        </w:rPr>
        <w:t xml:space="preserve">7.4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退役报告</w:t>
      </w:r>
      <w:bookmarkEnd w:id="60"/>
    </w:p>
    <w:p w14:paraId="7136D4E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退役工作完成后，应编制《高标准农田智慧管护系统退役报告》，全面总结退役过程、处置结果、费用结算等，与《资产处置清单》、数据销毁证明等一并归档，保存期限</w:t>
      </w:r>
      <w:r>
        <w:rPr>
          <w:rFonts w:hint="eastAsia" w:ascii="Times New Roman" w:hAnsi="Times New Roman"/>
          <w:szCs w:val="24"/>
          <w:lang w:eastAsia="zh-CN"/>
        </w:rPr>
        <w:t>应</w:t>
      </w:r>
      <w:r>
        <w:rPr>
          <w:rFonts w:hint="eastAsia" w:ascii="Times New Roman" w:hAnsi="Times New Roman"/>
          <w:szCs w:val="24"/>
        </w:rPr>
        <w:t>不少于10年。</w:t>
      </w:r>
    </w:p>
    <w:p w14:paraId="4A438F88">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61" w:name="_Toc12814"/>
      <w:r>
        <w:rPr>
          <w:rFonts w:hint="eastAsia" w:ascii="Times New Roman" w:hAnsi="Times New Roman" w:eastAsia="黑体"/>
          <w:b/>
          <w:bCs w:val="0"/>
          <w:kern w:val="44"/>
          <w:lang w:val="en-US" w:eastAsia="zh-CN"/>
        </w:rPr>
        <w:t>评价与改进</w:t>
      </w:r>
      <w:bookmarkEnd w:id="61"/>
    </w:p>
    <w:p w14:paraId="6F8D8542">
      <w:pPr>
        <w:keepNext/>
        <w:keepLines/>
        <w:tabs>
          <w:tab w:val="left" w:pos="420"/>
          <w:tab w:val="left" w:pos="540"/>
        </w:tabs>
        <w:adjustRightInd/>
        <w:spacing w:before="156" w:beforeLines="50" w:after="156" w:afterLines="50" w:line="240" w:lineRule="auto"/>
        <w:outlineLvl w:val="1"/>
        <w:rPr>
          <w:rFonts w:hint="eastAsia" w:ascii="Times New Roman" w:hAnsi="Times New Roman"/>
          <w:szCs w:val="24"/>
        </w:rPr>
      </w:pPr>
      <w:bookmarkStart w:id="62" w:name="_Toc4550"/>
      <w:r>
        <w:rPr>
          <w:rFonts w:hint="eastAsia" w:ascii="Times New Roman" w:hAnsi="Times New Roman" w:eastAsia="黑体" w:cs="黑体"/>
          <w:b/>
          <w:bCs/>
          <w:kern w:val="21"/>
          <w:lang w:val="en-US" w:eastAsia="zh-CN"/>
        </w:rPr>
        <w:t>8</w:t>
      </w:r>
      <w:r>
        <w:rPr>
          <w:rFonts w:hint="default" w:ascii="Times New Roman" w:hAnsi="Times New Roman" w:eastAsia="黑体" w:cs="黑体"/>
          <w:b/>
          <w:bCs/>
          <w:kern w:val="21"/>
        </w:rPr>
        <w:t>.1</w:t>
      </w:r>
      <w:r>
        <w:rPr>
          <w:rFonts w:hint="default" w:ascii="Times New Roman" w:hAnsi="Times New Roman" w:eastAsia="黑体" w:cs="黑体"/>
          <w:b/>
          <w:bCs/>
          <w:kern w:val="21"/>
          <w:lang w:val="en-US" w:eastAsia="zh-CN"/>
        </w:rPr>
        <w:t xml:space="preserve">  </w:t>
      </w:r>
      <w:r>
        <w:rPr>
          <w:rFonts w:hint="default" w:ascii="Times New Roman" w:hAnsi="Times New Roman" w:eastAsia="黑体" w:cs="黑体"/>
          <w:b w:val="0"/>
          <w:bCs w:val="0"/>
          <w:kern w:val="21"/>
        </w:rPr>
        <w:t>评价指标体系</w:t>
      </w:r>
      <w:bookmarkEnd w:id="62"/>
    </w:p>
    <w:p w14:paraId="33D399C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应建立科学的智慧管护效能评价指标体系，定期（通常为每年一次）开展自评价或第三方评价。评价指标应包括但不限于表</w:t>
      </w:r>
      <w:r>
        <w:rPr>
          <w:rFonts w:hint="eastAsia" w:ascii="Times New Roman" w:hAnsi="Times New Roman"/>
          <w:szCs w:val="24"/>
          <w:lang w:val="en-US" w:eastAsia="zh-CN"/>
        </w:rPr>
        <w:t>1</w:t>
      </w:r>
      <w:r>
        <w:rPr>
          <w:rFonts w:hint="eastAsia" w:ascii="Times New Roman" w:hAnsi="Times New Roman"/>
          <w:szCs w:val="24"/>
        </w:rPr>
        <w:t>所示内容。</w:t>
      </w:r>
    </w:p>
    <w:p w14:paraId="4AC829B2">
      <w:pPr>
        <w:adjustRightInd/>
        <w:spacing w:line="360" w:lineRule="auto"/>
        <w:jc w:val="center"/>
        <w:rPr>
          <w:rFonts w:hint="eastAsia" w:ascii="Times New Roman" w:hAnsi="Times New Roman"/>
          <w:szCs w:val="24"/>
        </w:rPr>
      </w:pPr>
      <w:r>
        <w:rPr>
          <w:rFonts w:hint="eastAsia" w:ascii="Times New Roman" w:hAnsi="Times New Roman"/>
          <w:szCs w:val="24"/>
        </w:rPr>
        <w:t>表</w:t>
      </w:r>
      <w:r>
        <w:rPr>
          <w:rFonts w:hint="eastAsia" w:ascii="Times New Roman" w:hAnsi="Times New Roman"/>
          <w:szCs w:val="24"/>
          <w:lang w:val="en-US" w:eastAsia="zh-CN"/>
        </w:rPr>
        <w:t>1</w:t>
      </w:r>
      <w:r>
        <w:rPr>
          <w:rFonts w:hint="eastAsia" w:ascii="Times New Roman" w:hAnsi="Times New Roman"/>
          <w:szCs w:val="24"/>
        </w:rPr>
        <w:t xml:space="preserve"> 高标准农田智慧管护评价指标体系</w:t>
      </w:r>
    </w:p>
    <w:tbl>
      <w:tblPr>
        <w:tblStyle w:val="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5"/>
        <w:gridCol w:w="1469"/>
        <w:gridCol w:w="2176"/>
        <w:gridCol w:w="4760"/>
      </w:tblGrid>
      <w:tr w14:paraId="604E7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BC88">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价维度</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1EA7">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一级指标</w:t>
            </w: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85B6">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二级指标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BE0C">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计算方法</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说明</w:t>
            </w:r>
          </w:p>
        </w:tc>
      </w:tr>
      <w:tr w14:paraId="49178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C1B4C5">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技术性能</w:t>
            </w:r>
          </w:p>
        </w:tc>
        <w:tc>
          <w:tcPr>
            <w:tcW w:w="1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F56126">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系统可靠性</w:t>
            </w: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2447">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设备在线率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8B32A">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(1 - </w:t>
            </w:r>
            <w:r>
              <w:rPr>
                <w:rFonts w:hint="eastAsia" w:ascii="宋体" w:hAnsi="宋体" w:eastAsia="宋体" w:cs="宋体"/>
                <w:i w:val="0"/>
                <w:iCs w:val="0"/>
                <w:color w:val="000000"/>
                <w:kern w:val="0"/>
                <w:sz w:val="21"/>
                <w:szCs w:val="21"/>
                <w:u w:val="none"/>
                <w:lang w:val="en-US" w:eastAsia="zh-CN" w:bidi="ar"/>
              </w:rPr>
              <w:t>设备断线总时长</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统计期总时长</w:t>
            </w:r>
            <w:r>
              <w:rPr>
                <w:rFonts w:hint="default" w:ascii="Times New Roman" w:hAnsi="Times New Roman" w:eastAsia="宋体" w:cs="Times New Roman"/>
                <w:i w:val="0"/>
                <w:iCs w:val="0"/>
                <w:color w:val="000000"/>
                <w:kern w:val="0"/>
                <w:sz w:val="21"/>
                <w:szCs w:val="21"/>
                <w:u w:val="none"/>
                <w:lang w:val="en-US" w:eastAsia="zh-CN" w:bidi="ar"/>
              </w:rPr>
              <w:t>) × 100%</w:t>
            </w:r>
          </w:p>
        </w:tc>
      </w:tr>
      <w:tr w14:paraId="1206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071EF">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1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D1AA2">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6F173">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数据采集成功率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64AE">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成功采集数据次数</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应采集数据总次数</w:t>
            </w:r>
            <w:r>
              <w:rPr>
                <w:rFonts w:hint="default" w:ascii="Times New Roman" w:hAnsi="Times New Roman" w:eastAsia="宋体" w:cs="Times New Roman"/>
                <w:i w:val="0"/>
                <w:iCs w:val="0"/>
                <w:color w:val="000000"/>
                <w:kern w:val="0"/>
                <w:sz w:val="21"/>
                <w:szCs w:val="21"/>
                <w:u w:val="none"/>
                <w:lang w:val="en-US" w:eastAsia="zh-CN" w:bidi="ar"/>
              </w:rPr>
              <w:t>) × 100%</w:t>
            </w:r>
          </w:p>
        </w:tc>
      </w:tr>
      <w:tr w14:paraId="1E0B9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5BA13">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E55D">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系统有效性</w:t>
            </w: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53B9D">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预警准确率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F80A5">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准确预警次数</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总预警次数</w:t>
            </w:r>
            <w:r>
              <w:rPr>
                <w:rFonts w:hint="default" w:ascii="Times New Roman" w:hAnsi="Times New Roman" w:eastAsia="宋体" w:cs="Times New Roman"/>
                <w:i w:val="0"/>
                <w:iCs w:val="0"/>
                <w:color w:val="000000"/>
                <w:kern w:val="0"/>
                <w:sz w:val="21"/>
                <w:szCs w:val="21"/>
                <w:u w:val="none"/>
                <w:lang w:val="en-US" w:eastAsia="zh-CN" w:bidi="ar"/>
              </w:rPr>
              <w:t>) × 100%</w:t>
            </w:r>
          </w:p>
        </w:tc>
      </w:tr>
      <w:tr w14:paraId="6D9F6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CCA99">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经济效益</w:t>
            </w:r>
          </w:p>
        </w:tc>
        <w:tc>
          <w:tcPr>
            <w:tcW w:w="1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274BE8">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节本增效</w:t>
            </w: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7AFE">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节水率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A8796">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传统模式亩均用水量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智慧模式亩均用水量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传统模式亩均用水量</w:t>
            </w:r>
            <w:r>
              <w:rPr>
                <w:rFonts w:hint="default" w:ascii="Times New Roman" w:hAnsi="Times New Roman" w:eastAsia="宋体" w:cs="Times New Roman"/>
                <w:i w:val="0"/>
                <w:iCs w:val="0"/>
                <w:color w:val="000000"/>
                <w:kern w:val="0"/>
                <w:sz w:val="21"/>
                <w:szCs w:val="21"/>
                <w:u w:val="none"/>
                <w:lang w:val="en-US" w:eastAsia="zh-CN" w:bidi="ar"/>
              </w:rPr>
              <w:t xml:space="preserve"> × 100%</w:t>
            </w:r>
          </w:p>
        </w:tc>
      </w:tr>
      <w:tr w14:paraId="3A64B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08CF2">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1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FD837">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9772">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节肥率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964F4">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传统模式亩均施肥量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智慧模式亩均施肥量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传统模式亩均施肥量</w:t>
            </w:r>
            <w:r>
              <w:rPr>
                <w:rFonts w:hint="default" w:ascii="Times New Roman" w:hAnsi="Times New Roman" w:eastAsia="宋体" w:cs="Times New Roman"/>
                <w:i w:val="0"/>
                <w:iCs w:val="0"/>
                <w:color w:val="000000"/>
                <w:kern w:val="0"/>
                <w:sz w:val="21"/>
                <w:szCs w:val="21"/>
                <w:u w:val="none"/>
                <w:lang w:val="en-US" w:eastAsia="zh-CN" w:bidi="ar"/>
              </w:rPr>
              <w:t xml:space="preserve"> × 100%</w:t>
            </w:r>
          </w:p>
        </w:tc>
      </w:tr>
      <w:tr w14:paraId="3E36F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9776A">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1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18CBC">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EAD0">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人工成本降低率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1DD2">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传统人工成本</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现人工成本</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传统人工成本</w:t>
            </w:r>
            <w:r>
              <w:rPr>
                <w:rFonts w:hint="default" w:ascii="Times New Roman" w:hAnsi="Times New Roman" w:eastAsia="宋体" w:cs="Times New Roman"/>
                <w:i w:val="0"/>
                <w:iCs w:val="0"/>
                <w:color w:val="000000"/>
                <w:kern w:val="0"/>
                <w:sz w:val="21"/>
                <w:szCs w:val="21"/>
                <w:u w:val="none"/>
                <w:lang w:val="en-US" w:eastAsia="zh-CN" w:bidi="ar"/>
              </w:rPr>
              <w:t xml:space="preserve"> × 100%</w:t>
            </w:r>
          </w:p>
        </w:tc>
      </w:tr>
      <w:tr w14:paraId="61E6C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E677A">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070F">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增产提质</w:t>
            </w: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A973">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单位面积产量变化率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2C07">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评价期亩产量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基期亩产量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基期亩产量</w:t>
            </w:r>
            <w:r>
              <w:rPr>
                <w:rFonts w:hint="default" w:ascii="Times New Roman" w:hAnsi="Times New Roman" w:eastAsia="宋体" w:cs="Times New Roman"/>
                <w:i w:val="0"/>
                <w:iCs w:val="0"/>
                <w:color w:val="000000"/>
                <w:kern w:val="0"/>
                <w:sz w:val="21"/>
                <w:szCs w:val="21"/>
                <w:u w:val="none"/>
                <w:lang w:val="en-US" w:eastAsia="zh-CN" w:bidi="ar"/>
              </w:rPr>
              <w:t xml:space="preserve"> × 100%</w:t>
            </w:r>
          </w:p>
        </w:tc>
      </w:tr>
      <w:tr w14:paraId="3D127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79108">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生态效益</w:t>
            </w:r>
          </w:p>
        </w:tc>
        <w:tc>
          <w:tcPr>
            <w:tcW w:w="1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CE4C87">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资源可持续利用</w:t>
            </w: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65A9">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耕地质量等级变化</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4525C">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依据</w:t>
            </w:r>
            <w:r>
              <w:rPr>
                <w:rFonts w:hint="default" w:ascii="Times New Roman" w:hAnsi="Times New Roman" w:eastAsia="宋体" w:cs="Times New Roman"/>
                <w:i w:val="0"/>
                <w:iCs w:val="0"/>
                <w:color w:val="000000"/>
                <w:kern w:val="0"/>
                <w:sz w:val="21"/>
                <w:szCs w:val="21"/>
                <w:u w:val="none"/>
                <w:lang w:val="en-US" w:eastAsia="zh-CN" w:bidi="ar"/>
              </w:rPr>
              <w:t>GB/T 33469</w:t>
            </w:r>
            <w:r>
              <w:rPr>
                <w:rFonts w:hint="eastAsia" w:ascii="宋体" w:hAnsi="宋体" w:eastAsia="宋体" w:cs="宋体"/>
                <w:i w:val="0"/>
                <w:iCs w:val="0"/>
                <w:color w:val="000000"/>
                <w:kern w:val="0"/>
                <w:sz w:val="21"/>
                <w:szCs w:val="21"/>
                <w:u w:val="none"/>
                <w:lang w:val="en-US" w:eastAsia="zh-CN" w:bidi="ar"/>
              </w:rPr>
              <w:t>评价年度耕地质量等级提升情况</w:t>
            </w:r>
          </w:p>
        </w:tc>
      </w:tr>
      <w:tr w14:paraId="218F9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0D4DC">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1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1EFBC">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5BED">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化肥施用强度降低率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FBAE">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评价期亩均化肥折纯量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基期亩均化肥折纯量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基期亩均化肥折纯量</w:t>
            </w:r>
            <w:r>
              <w:rPr>
                <w:rFonts w:hint="default" w:ascii="Times New Roman" w:hAnsi="Times New Roman" w:eastAsia="宋体" w:cs="Times New Roman"/>
                <w:i w:val="0"/>
                <w:iCs w:val="0"/>
                <w:color w:val="000000"/>
                <w:kern w:val="0"/>
                <w:sz w:val="21"/>
                <w:szCs w:val="21"/>
                <w:u w:val="none"/>
                <w:lang w:val="en-US" w:eastAsia="zh-CN" w:bidi="ar"/>
              </w:rPr>
              <w:t xml:space="preserve"> × 100%</w:t>
            </w:r>
          </w:p>
        </w:tc>
      </w:tr>
      <w:tr w14:paraId="174E3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05E07">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1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0C586">
            <w:pPr>
              <w:keepNext w:val="0"/>
              <w:keepLines w:val="0"/>
              <w:pageBreakBefore w:val="0"/>
              <w:widowControl/>
              <w:kinsoku/>
              <w:wordWrap/>
              <w:overflowPunct/>
              <w:topLinePunct w:val="0"/>
              <w:autoSpaceDE/>
              <w:autoSpaceDN/>
              <w:bidi w:val="0"/>
              <w:adjustRightInd w:val="0"/>
              <w:snapToGrid/>
              <w:spacing w:line="240" w:lineRule="auto"/>
              <w:jc w:val="center"/>
              <w:rPr>
                <w:rFonts w:hint="eastAsia" w:ascii="宋体" w:hAnsi="宋体" w:eastAsia="宋体" w:cs="宋体"/>
                <w:i w:val="0"/>
                <w:iCs w:val="0"/>
                <w:color w:val="000000"/>
                <w:sz w:val="21"/>
                <w:szCs w:val="21"/>
                <w:u w:val="none"/>
              </w:rPr>
            </w:pPr>
          </w:p>
        </w:tc>
        <w:tc>
          <w:tcPr>
            <w:tcW w:w="2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7363">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农药施用强度降低率</w:t>
            </w:r>
          </w:p>
        </w:tc>
        <w:tc>
          <w:tcPr>
            <w:tcW w:w="4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C66A">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评价期亩均农药施用量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基期亩均农药施用量</w:t>
            </w:r>
            <w:r>
              <w:rPr>
                <w:rFonts w:hint="default" w:ascii="Times New Roman" w:hAnsi="Times New Roman" w:eastAsia="宋体" w:cs="Times New Roman"/>
                <w:i w:val="0"/>
                <w:iCs w:val="0"/>
                <w:color w:val="000000"/>
                <w:kern w:val="0"/>
                <w:sz w:val="21"/>
                <w:szCs w:val="21"/>
                <w:u w:val="none"/>
                <w:lang w:val="en-US" w:eastAsia="zh-CN" w:bidi="ar"/>
              </w:rPr>
              <w:t xml:space="preserve">) / </w:t>
            </w:r>
            <w:r>
              <w:rPr>
                <w:rFonts w:hint="eastAsia" w:ascii="宋体" w:hAnsi="宋体" w:eastAsia="宋体" w:cs="宋体"/>
                <w:i w:val="0"/>
                <w:iCs w:val="0"/>
                <w:color w:val="000000"/>
                <w:kern w:val="0"/>
                <w:sz w:val="21"/>
                <w:szCs w:val="21"/>
                <w:u w:val="none"/>
                <w:lang w:val="en-US" w:eastAsia="zh-CN" w:bidi="ar"/>
              </w:rPr>
              <w:t>基期亩均农药施用量</w:t>
            </w:r>
            <w:r>
              <w:rPr>
                <w:rFonts w:hint="default" w:ascii="Times New Roman" w:hAnsi="Times New Roman" w:eastAsia="宋体" w:cs="Times New Roman"/>
                <w:i w:val="0"/>
                <w:iCs w:val="0"/>
                <w:color w:val="000000"/>
                <w:kern w:val="0"/>
                <w:sz w:val="21"/>
                <w:szCs w:val="21"/>
                <w:u w:val="none"/>
                <w:lang w:val="en-US" w:eastAsia="zh-CN" w:bidi="ar"/>
              </w:rPr>
              <w:t xml:space="preserve"> × 100%</w:t>
            </w:r>
          </w:p>
        </w:tc>
      </w:tr>
    </w:tbl>
    <w:p w14:paraId="3DA43F8E">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63" w:name="_Toc13362"/>
      <w:r>
        <w:rPr>
          <w:rFonts w:hint="eastAsia" w:ascii="Times New Roman" w:hAnsi="Times New Roman" w:eastAsia="黑体" w:cs="黑体"/>
          <w:b/>
          <w:bCs/>
          <w:kern w:val="21"/>
          <w:lang w:val="en-US" w:eastAsia="zh-CN"/>
        </w:rPr>
        <w:t>8</w:t>
      </w:r>
      <w:r>
        <w:rPr>
          <w:rFonts w:hint="eastAsia" w:ascii="Times New Roman" w:hAnsi="Times New Roman" w:eastAsia="黑体" w:cs="黑体"/>
          <w:b/>
          <w:bCs/>
          <w:kern w:val="21"/>
        </w:rPr>
        <w:t xml:space="preserve">.2 </w:t>
      </w:r>
      <w:r>
        <w:rPr>
          <w:rFonts w:hint="eastAsia" w:ascii="Times New Roman" w:hAnsi="Times New Roman" w:eastAsia="黑体" w:cs="黑体"/>
          <w:b/>
          <w:bCs/>
          <w:kern w:val="21"/>
          <w:lang w:val="en-US" w:eastAsia="zh-CN"/>
        </w:rPr>
        <w:t xml:space="preserve"> </w:t>
      </w:r>
      <w:bookmarkEnd w:id="63"/>
      <w:r>
        <w:rPr>
          <w:rFonts w:hint="eastAsia" w:ascii="Times New Roman" w:hAnsi="Times New Roman" w:eastAsia="黑体" w:cs="黑体"/>
          <w:b w:val="0"/>
          <w:bCs w:val="0"/>
          <w:kern w:val="21"/>
          <w:lang w:eastAsia="zh-CN"/>
        </w:rPr>
        <w:t>持续改进</w:t>
      </w:r>
    </w:p>
    <w:p w14:paraId="2AA2F341">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8.1.1 应建立基于评价结果的持续改进机制：</w:t>
      </w:r>
    </w:p>
    <w:p w14:paraId="40922F73">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a) 问题识别：根据评价指标分析和日常运维反馈，识别系统存在的短板和问题。</w:t>
      </w:r>
    </w:p>
    <w:p w14:paraId="50C066BC">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b) 制定计划：制定针对性的改进计划，明确目标、措施、责任人和时间表。</w:t>
      </w:r>
    </w:p>
    <w:p w14:paraId="6D46E552">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c) 实施改进：实施改进措施，可能包括：更新老旧设备、升级网络、优化算法模型、扩展平台功能、调整管理制度等。</w:t>
      </w:r>
    </w:p>
    <w:p w14:paraId="0212CB74">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d) 跟踪验证：对改进效果进行跟踪验证，评估是否达到预期目标，并进入下一个改进循环。</w:t>
      </w:r>
    </w:p>
    <w:p w14:paraId="1DED19E9">
      <w:pPr>
        <w:widowControl/>
        <w:tabs>
          <w:tab w:val="center" w:pos="4201"/>
          <w:tab w:val="right" w:leader="dot" w:pos="9298"/>
        </w:tabs>
        <w:autoSpaceDE w:val="0"/>
        <w:autoSpaceDN w:val="0"/>
        <w:adjustRightInd/>
        <w:spacing w:line="360" w:lineRule="auto"/>
        <w:ind w:firstLine="420" w:firstLineChars="200"/>
        <w:rPr>
          <w:rFonts w:hint="eastAsia" w:ascii="仿宋" w:hAnsi="仿宋" w:eastAsia="仿宋" w:cs="仿宋"/>
          <w:sz w:val="24"/>
          <w:szCs w:val="24"/>
          <w:lang w:eastAsia="zh-CN"/>
        </w:rPr>
      </w:pPr>
      <w:r>
        <w:rPr>
          <w:rFonts w:hint="eastAsia" w:ascii="Times New Roman" w:hAnsi="Times New Roman"/>
          <w:szCs w:val="24"/>
          <w:lang w:val="en-US" w:eastAsia="zh-CN"/>
        </w:rPr>
        <w:t>8.2.2 鼓励管护主体积极引进和示范应用新的智慧农业技术，不断提升管护体系的智慧化水平。</w:t>
      </w:r>
    </w:p>
    <w:p w14:paraId="15D26182">
      <w:pPr>
        <w:adjustRightInd/>
        <w:spacing w:line="360" w:lineRule="auto"/>
        <w:ind w:firstLine="420" w:firstLineChars="200"/>
        <w:rPr>
          <w:rFonts w:hint="eastAsia" w:ascii="Times New Roman" w:hAnsi="Times New Roman"/>
          <w:szCs w:val="24"/>
        </w:rPr>
      </w:pPr>
    </w:p>
    <w:p w14:paraId="41B3F42C">
      <w:pPr>
        <w:pStyle w:val="110"/>
        <w:numPr>
          <w:ilvl w:val="2"/>
          <w:numId w:val="0"/>
        </w:numPr>
        <w:spacing w:before="120" w:after="120"/>
        <w:jc w:val="center"/>
        <w:rPr>
          <w:color w:val="000000"/>
          <w14:scene3d>
            <w14:lightRig w14:rig="threePt" w14:dir="t">
              <w14:rot w14:lat="0" w14:lon="0" w14:rev="0"/>
            </w14:lightRig>
          </w14:scene3d>
        </w:rPr>
      </w:pPr>
      <w:bookmarkStart w:id="64" w:name="_Toc26480"/>
      <w:bookmarkStart w:id="65" w:name="_Toc10533"/>
      <w:bookmarkStart w:id="66" w:name="_Toc24150"/>
      <w:bookmarkStart w:id="67" w:name="_Toc30582"/>
      <w:r>
        <w:rPr>
          <w:color w:val="000000"/>
        </w:rPr>
        <w:drawing>
          <wp:inline distT="0" distB="0" distL="0" distR="0">
            <wp:extent cx="1485900" cy="317500"/>
            <wp:effectExtent l="0" t="0" r="0" b="6350"/>
            <wp:docPr id="1871296992" name="图片 1"/>
            <wp:cNvGraphicFramePr/>
            <a:graphic xmlns:a="http://schemas.openxmlformats.org/drawingml/2006/main">
              <a:graphicData uri="http://schemas.openxmlformats.org/drawingml/2006/picture">
                <pic:pic xmlns:pic="http://schemas.openxmlformats.org/drawingml/2006/picture">
                  <pic:nvPicPr>
                    <pic:cNvPr id="1871296992" name="图片 1"/>
                    <pic:cNvPicPr/>
                  </pic:nvPicPr>
                  <pic:blipFill>
                    <a:blip r:embed="rId26">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26"/>
      <w:bookmarkEnd w:id="27"/>
      <w:bookmarkEnd w:id="64"/>
      <w:bookmarkEnd w:id="65"/>
      <w:bookmarkEnd w:id="66"/>
      <w:bookmarkEnd w:id="67"/>
    </w:p>
    <w:sectPr>
      <w:headerReference r:id="rId22" w:type="first"/>
      <w:headerReference r:id="rId20" w:type="default"/>
      <w:footerReference r:id="rId23" w:type="default"/>
      <w:headerReference r:id="rId21" w:type="even"/>
      <w:footerReference r:id="rId24" w:type="even"/>
      <w:pgSz w:w="11906" w:h="16838"/>
      <w:pgMar w:top="1928"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6AFEC">
    <w:pPr>
      <w:pStyle w:val="19"/>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A63A">
    <w:pPr>
      <w:pStyle w:val="19"/>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2D905">
    <w:pPr>
      <w:pStyle w:val="57"/>
    </w:pPr>
    <w:r>
      <w:fldChar w:fldCharType="begin"/>
    </w:r>
    <w:r>
      <w:instrText xml:space="preserve">PAGE   \* MERGEFORMAT</w:instrText>
    </w:r>
    <w:r>
      <w:fldChar w:fldCharType="separate"/>
    </w:r>
    <w:r>
      <w:rPr>
        <w:lang w:val="zh-CN"/>
      </w:rP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D3EC8">
    <w:pPr>
      <w:pStyle w:val="56"/>
    </w:pPr>
    <w:r>
      <w:fldChar w:fldCharType="begin"/>
    </w:r>
    <w:r>
      <w:instrText xml:space="preserve"> PAGE   \* MERGEFORMAT \* MERGEFORMAT </w:instrText>
    </w:r>
    <w:r>
      <w:fldChar w:fldCharType="separate"/>
    </w:r>
    <w:r>
      <w:t>II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82671">
    <w:pPr>
      <w:pStyle w:val="57"/>
    </w:pPr>
    <w:r>
      <w:fldChar w:fldCharType="begin"/>
    </w:r>
    <w:r>
      <w:instrText xml:space="preserve">PAGE   \* MERGEFORMAT</w:instrText>
    </w:r>
    <w:r>
      <w:fldChar w:fldCharType="separate"/>
    </w:r>
    <w:r>
      <w:rPr>
        <w:lang w:val="zh-CN"/>
      </w:rPr>
      <w:t>13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A4BCA">
    <w:pPr>
      <w:pStyle w:val="56"/>
    </w:pPr>
    <w:r>
      <w:fldChar w:fldCharType="begin"/>
    </w:r>
    <w:r>
      <w:instrText xml:space="preserve"> PAGE   \* MERGEFORMAT \* MERGEFORMAT </w:instrText>
    </w:r>
    <w:r>
      <w:fldChar w:fldCharType="separate"/>
    </w:r>
    <w:r>
      <w:t>14</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77730">
    <w:pPr>
      <w:pStyle w:val="57"/>
    </w:pPr>
    <w:r>
      <w:fldChar w:fldCharType="begin"/>
    </w:r>
    <w:r>
      <w:instrText xml:space="preserve">PAGE   \* MERGEFORMAT</w:instrText>
    </w:r>
    <w:r>
      <w:fldChar w:fldCharType="separate"/>
    </w:r>
    <w:r>
      <w:rPr>
        <w:lang w:val="zh-CN"/>
      </w:rPr>
      <w:t>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83970">
    <w:pPr>
      <w:pStyle w:val="56"/>
    </w:pPr>
    <w:r>
      <w:fldChar w:fldCharType="begin"/>
    </w:r>
    <w:r>
      <w:instrText xml:space="preserve"> PAGE   \* MERGEFORMAT \* MERGEFORMAT </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B40B">
    <w:pPr>
      <w:pStyle w:val="20"/>
      <w:wordWrap w:val="0"/>
      <w:jc w:val="right"/>
      <w:rPr>
        <w:rFonts w:ascii="黑体" w:hAnsi="黑体" w:eastAsia="黑体"/>
      </w:rPr>
    </w:pPr>
    <w:r>
      <w:pict>
        <v:shape id="PowerPlusWaterMarkObject850688767" o:spid="_x0000_s2051" o:spt="136" type="#_x0000_t136" style="position:absolute;left:0pt;height:131.85pt;width:527.55pt;mso-position-horizontal:center;mso-position-horizontal-relative:margin;mso-position-vertical:center;mso-position-vertical-relative:margin;rotation:20643840f;z-index:-25165414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D5129">
    <w:pPr>
      <w:pStyle w:val="20"/>
    </w:pPr>
    <w:r>
      <w:pict>
        <v:shape id="PowerPlusWaterMarkObject850688766" o:spid="_x0000_s2050" o:spt="136" type="#_x0000_t136" style="position:absolute;left:0pt;height:131.85pt;width:527.55pt;mso-position-horizontal:center;mso-position-horizontal-relative:margin;mso-position-vertical:center;mso-position-vertical-relative:margin;rotation:20643840f;z-index:-25165516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D9E2B">
    <w:pPr>
      <w:pStyle w:val="20"/>
      <w:jc w:val="both"/>
      <w:rPr>
        <w:sz w:val="2"/>
        <w:szCs w:val="2"/>
      </w:rPr>
    </w:pPr>
    <w:r>
      <w:pict>
        <v:shape id="PowerPlusWaterMarkObject850688765" o:spid="_x0000_s2049" o:spt="136" type="#_x0000_t136" style="position:absolute;left:0pt;height:131.85pt;width:527.55pt;mso-position-horizontal:center;mso-position-horizontal-relative:margin;mso-position-vertical:center;mso-position-vertical-relative:margin;rotation:20643840f;z-index:-251657216;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7701F">
    <w:pPr>
      <w:pStyle w:val="66"/>
    </w:pPr>
    <w:r>
      <w:pict>
        <v:shape id="PowerPlusWaterMarkObject850688770" o:spid="_x0000_s2054" o:spt="136" type="#_x0000_t136" style="position:absolute;left:0pt;height:131.85pt;width:527.55pt;mso-position-horizontal:center;mso-position-horizontal-relative:margin;mso-position-vertical:center;mso-position-vertical-relative:margin;rotation:20643840f;z-index:-25165107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163C0">
    <w:pPr>
      <w:pStyle w:val="67"/>
    </w:pPr>
    <w:r>
      <w:pict>
        <v:shape id="PowerPlusWaterMarkObject850688769" o:spid="_x0000_s2053" o:spt="136" type="#_x0000_t136" style="position:absolute;left:0pt;height:131.85pt;width:527.55pt;mso-position-horizontal:center;mso-position-horizontal-relative:margin;mso-position-vertical:center;mso-position-vertical-relative:margin;rotation:20643840f;z-index:-25165209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90C72">
    <w:pPr>
      <w:pStyle w:val="20"/>
    </w:pPr>
    <w:r>
      <w:pict>
        <v:shape id="PowerPlusWaterMarkObject850688768" o:spid="_x0000_s2052" o:spt="136" type="#_x0000_t136" style="position:absolute;left:0pt;height:131.85pt;width:527.55pt;mso-position-horizontal:center;mso-position-horizontal-relative:margin;mso-position-vertical:center;mso-position-vertical-relative:margin;rotation:20643840f;z-index:-251653120;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80AC1">
    <w:pPr>
      <w:pStyle w:val="66"/>
    </w:pPr>
    <w:r>
      <w:pict>
        <v:shape id="PowerPlusWaterMarkObject850688773" o:spid="_x0000_s2057" o:spt="136" type="#_x0000_t136" style="position:absolute;left:0pt;height:131.85pt;width:527.55pt;mso-position-horizontal:center;mso-position-horizontal-relative:margin;mso-position-vertical:center;mso-position-vertical-relative:margin;rotation:20643840f;z-index:-251648000;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79734">
    <w:pPr>
      <w:pStyle w:val="67"/>
    </w:pPr>
    <w:r>
      <w:pict>
        <v:shape id="PowerPlusWaterMarkObject850688772" o:spid="_x0000_s2056" o:spt="136" type="#_x0000_t136" style="position:absolute;left:0pt;height:131.85pt;width:527.55pt;mso-position-horizontal:center;mso-position-horizontal-relative:margin;mso-position-vertical:center;mso-position-vertical-relative:margin;rotation:20643840f;z-index:-25164902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66CA8">
    <w:pPr>
      <w:pStyle w:val="20"/>
    </w:pPr>
    <w:r>
      <w:pict>
        <v:shape id="PowerPlusWaterMarkObject850688771" o:spid="_x0000_s2055" o:spt="136" type="#_x0000_t136" style="position:absolute;left:0pt;height:131.85pt;width:527.55pt;mso-position-horizontal:center;mso-position-horizontal-relative:margin;mso-position-vertical:center;mso-position-vertical-relative:margin;rotation:20643840f;z-index:-25165004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201C6">
    <w:pPr>
      <w:pStyle w:val="66"/>
    </w:pPr>
    <w:r>
      <w:pict>
        <v:shape id="PowerPlusWaterMarkObject850688776" o:spid="_x0000_s2060" o:spt="136" type="#_x0000_t136" style="position:absolute;left:0pt;height:131.85pt;width:527.55pt;mso-position-horizontal:center;mso-position-horizontal-relative:margin;mso-position-vertical:center;mso-position-vertical-relative:margin;rotation:20643840f;z-index:-251644928;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87CEC">
    <w:pPr>
      <w:pStyle w:val="67"/>
    </w:pPr>
    <w:r>
      <w:pict>
        <v:shape id="PowerPlusWaterMarkObject850688775" o:spid="_x0000_s2059" o:spt="136" type="#_x0000_t136" style="position:absolute;left:0pt;height:131.85pt;width:527.55pt;mso-position-horizontal:center;mso-position-horizontal-relative:margin;mso-position-vertical:center;mso-position-vertical-relative:margin;rotation:20643840f;z-index:-25164595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43D3F">
    <w:pPr>
      <w:pStyle w:val="20"/>
    </w:pPr>
    <w:r>
      <w:pict>
        <v:shape id="PowerPlusWaterMarkObject850688774" o:spid="_x0000_s2058" o:spt="136" type="#_x0000_t136" style="position:absolute;left:0pt;height:131.85pt;width:527.55pt;mso-position-horizontal:center;mso-position-horizontal-relative:margin;mso-position-vertical:center;mso-position-vertical-relative:margin;rotation:20643840f;z-index:-25164697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9"/>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4"/>
      <w:suff w:val="nothing"/>
      <w:lvlText w:val="%1%2.%3　"/>
      <w:lvlJc w:val="left"/>
      <w:pPr>
        <w:ind w:left="0" w:firstLine="0"/>
      </w:pPr>
    </w:lvl>
    <w:lvl w:ilvl="3" w:tentative="0">
      <w:start w:val="1"/>
      <w:numFmt w:val="decimal"/>
      <w:pStyle w:val="123"/>
      <w:suff w:val="nothing"/>
      <w:lvlText w:val="%1%2.%3.%4　"/>
      <w:lvlJc w:val="left"/>
      <w:pPr>
        <w:ind w:left="0" w:firstLine="0"/>
      </w:pPr>
    </w:lvl>
    <w:lvl w:ilvl="4" w:tentative="0">
      <w:start w:val="1"/>
      <w:numFmt w:val="decimal"/>
      <w:pStyle w:val="158"/>
      <w:suff w:val="nothing"/>
      <w:lvlText w:val="%1%2.%3.%4.%5　"/>
      <w:lvlJc w:val="left"/>
      <w:pPr>
        <w:ind w:left="0" w:firstLine="0"/>
      </w:pPr>
    </w:lvl>
    <w:lvl w:ilvl="5" w:tentative="0">
      <w:start w:val="1"/>
      <w:numFmt w:val="decimal"/>
      <w:pStyle w:val="160"/>
      <w:suff w:val="nothing"/>
      <w:lvlText w:val="%1%2.%3.%4.%5.%6　"/>
      <w:lvlJc w:val="left"/>
      <w:pPr>
        <w:ind w:left="0" w:firstLine="0"/>
      </w:pPr>
    </w:lvl>
    <w:lvl w:ilvl="6" w:tentative="0">
      <w:start w:val="1"/>
      <w:numFmt w:val="decimal"/>
      <w:pStyle w:val="163"/>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5"/>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4"/>
      <w:lvlText w:val="%1"/>
      <w:lvlJc w:val="left"/>
      <w:pPr>
        <w:ind w:left="425" w:hanging="425"/>
      </w:pPr>
      <w:rPr>
        <w:rFonts w:hint="eastAsia"/>
      </w:rPr>
    </w:lvl>
    <w:lvl w:ilvl="1" w:tentative="0">
      <w:start w:val="1"/>
      <w:numFmt w:val="decimal"/>
      <w:pStyle w:val="205"/>
      <w:suff w:val="nothing"/>
      <w:lvlText w:val="%10.%2 "/>
      <w:lvlJc w:val="left"/>
      <w:pPr>
        <w:ind w:left="0" w:firstLine="0"/>
      </w:pPr>
      <w:rPr>
        <w:rFonts w:hint="eastAsia" w:ascii="黑体" w:eastAsia="黑体" w:hAnsiTheme="minorHAnsi"/>
        <w:b w:val="0"/>
        <w:i w:val="0"/>
        <w:sz w:val="21"/>
      </w:rPr>
    </w:lvl>
    <w:lvl w:ilvl="2" w:tentative="0">
      <w:start w:val="1"/>
      <w:numFmt w:val="decimal"/>
      <w:pStyle w:val="206"/>
      <w:suff w:val="nothing"/>
      <w:lvlText w:val="%10.%2.%3 "/>
      <w:lvlJc w:val="left"/>
      <w:pPr>
        <w:ind w:left="0" w:firstLine="0"/>
      </w:pPr>
      <w:rPr>
        <w:rFonts w:hint="eastAsia" w:ascii="黑体" w:eastAsia="黑体" w:hAnsiTheme="minorHAnsi"/>
        <w:b w:val="0"/>
        <w:i w:val="0"/>
        <w:sz w:val="21"/>
      </w:rPr>
    </w:lvl>
    <w:lvl w:ilvl="3" w:tentative="0">
      <w:start w:val="1"/>
      <w:numFmt w:val="decimal"/>
      <w:pStyle w:val="207"/>
      <w:suff w:val="nothing"/>
      <w:lvlText w:val="%10.%2.%3.%4 "/>
      <w:lvlJc w:val="left"/>
      <w:pPr>
        <w:ind w:left="0" w:firstLine="0"/>
      </w:pPr>
      <w:rPr>
        <w:rFonts w:hint="eastAsia" w:ascii="黑体" w:eastAsia="黑体" w:hAnsiTheme="minorHAnsi"/>
        <w:b w:val="0"/>
        <w:i w:val="0"/>
        <w:sz w:val="21"/>
      </w:rPr>
    </w:lvl>
    <w:lvl w:ilvl="4" w:tentative="0">
      <w:start w:val="1"/>
      <w:numFmt w:val="decimal"/>
      <w:pStyle w:val="208"/>
      <w:suff w:val="nothing"/>
      <w:lvlText w:val="%10.%2.%3.%4.%5 "/>
      <w:lvlJc w:val="left"/>
      <w:pPr>
        <w:ind w:left="0" w:firstLine="0"/>
      </w:pPr>
      <w:rPr>
        <w:rFonts w:hint="eastAsia" w:ascii="黑体" w:eastAsia="黑体" w:hAnsiTheme="minorHAnsi"/>
        <w:b w:val="0"/>
        <w:i w:val="0"/>
        <w:sz w:val="21"/>
      </w:rPr>
    </w:lvl>
    <w:lvl w:ilvl="5" w:tentative="0">
      <w:start w:val="1"/>
      <w:numFmt w:val="decimal"/>
      <w:pStyle w:val="209"/>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6"/>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2"/>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4"/>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5"/>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90"/>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7"/>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7"/>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2"/>
      <w:lvlText w:val=""/>
      <w:lvlJc w:val="left"/>
      <w:pPr>
        <w:ind w:left="851" w:hanging="431"/>
      </w:pPr>
      <w:rPr>
        <w:rFonts w:hint="default" w:ascii="Symbol" w:hAnsi="Symbol"/>
        <w:sz w:val="21"/>
      </w:rPr>
    </w:lvl>
    <w:lvl w:ilvl="2" w:tentative="0">
      <w:start w:val="1"/>
      <w:numFmt w:val="bullet"/>
      <w:pStyle w:val="177"/>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6"/>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9"/>
      <w:lvlText w:val="%1)"/>
      <w:lvlJc w:val="left"/>
      <w:pPr>
        <w:tabs>
          <w:tab w:val="left" w:pos="851"/>
        </w:tabs>
        <w:ind w:left="851" w:hanging="426"/>
      </w:pPr>
      <w:rPr>
        <w:rFonts w:hint="eastAsia" w:ascii="宋体" w:hAnsi="Times New Roman" w:eastAsia="宋体"/>
        <w:sz w:val="21"/>
      </w:rPr>
    </w:lvl>
    <w:lvl w:ilvl="1" w:tentative="0">
      <w:start w:val="1"/>
      <w:numFmt w:val="decimal"/>
      <w:pStyle w:val="114"/>
      <w:lvlText w:val="%2)"/>
      <w:lvlJc w:val="left"/>
      <w:pPr>
        <w:tabs>
          <w:tab w:val="left" w:pos="1276"/>
        </w:tabs>
        <w:ind w:left="1276" w:hanging="425"/>
      </w:pPr>
      <w:rPr>
        <w:rFonts w:hint="eastAsia" w:ascii="宋体" w:hAnsi="Times New Roman" w:eastAsia="宋体"/>
        <w:sz w:val="21"/>
      </w:rPr>
    </w:lvl>
    <w:lvl w:ilvl="2" w:tentative="0">
      <w:start w:val="1"/>
      <w:numFmt w:val="decimal"/>
      <w:pStyle w:val="122"/>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3"/>
      <w:lvlText w:val="%1"/>
      <w:lvlJc w:val="left"/>
      <w:pPr>
        <w:ind w:left="420" w:hanging="420"/>
      </w:pPr>
      <w:rPr>
        <w:rFonts w:hint="eastAsia"/>
      </w:rPr>
    </w:lvl>
    <w:lvl w:ilvl="1" w:tentative="0">
      <w:start w:val="1"/>
      <w:numFmt w:val="decimal"/>
      <w:pStyle w:val="88"/>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8"/>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C89AA8D"/>
    <w:multiLevelType w:val="multilevel"/>
    <w:tmpl w:val="4C89AA8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E5D0534"/>
    <w:multiLevelType w:val="multilevel"/>
    <w:tmpl w:val="4E5D0534"/>
    <w:lvl w:ilvl="0" w:tentative="0">
      <w:start w:val="1"/>
      <w:numFmt w:val="decimal"/>
      <w:pStyle w:val="121"/>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7">
    <w:nsid w:val="54632751"/>
    <w:multiLevelType w:val="multilevel"/>
    <w:tmpl w:val="54632751"/>
    <w:lvl w:ilvl="0" w:tentative="0">
      <w:start w:val="1"/>
      <w:numFmt w:val="none"/>
      <w:pStyle w:val="98"/>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8">
    <w:nsid w:val="557C2AF5"/>
    <w:multiLevelType w:val="multilevel"/>
    <w:tmpl w:val="557C2AF5"/>
    <w:lvl w:ilvl="0" w:tentative="0">
      <w:start w:val="1"/>
      <w:numFmt w:val="decimal"/>
      <w:pStyle w:val="119"/>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603797C"/>
    <w:multiLevelType w:val="multilevel"/>
    <w:tmpl w:val="5603797C"/>
    <w:lvl w:ilvl="0" w:tentative="0">
      <w:start w:val="1"/>
      <w:numFmt w:val="upperLetter"/>
      <w:pStyle w:val="204"/>
      <w:suff w:val="space"/>
      <w:lvlText w:val="%1"/>
      <w:lvlJc w:val="left"/>
      <w:pPr>
        <w:ind w:left="425" w:hanging="425"/>
      </w:pPr>
      <w:rPr>
        <w:rFonts w:hint="eastAsia"/>
      </w:rPr>
    </w:lvl>
    <w:lvl w:ilvl="1" w:tentative="0">
      <w:start w:val="1"/>
      <w:numFmt w:val="decimal"/>
      <w:pStyle w:val="82"/>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564D2089"/>
    <w:multiLevelType w:val="multilevel"/>
    <w:tmpl w:val="564D2089"/>
    <w:lvl w:ilvl="0" w:tentative="0">
      <w:start w:val="1"/>
      <w:numFmt w:val="none"/>
      <w:pStyle w:val="116"/>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644622F9"/>
    <w:multiLevelType w:val="multilevel"/>
    <w:tmpl w:val="644622F9"/>
    <w:lvl w:ilvl="0" w:tentative="0">
      <w:start w:val="1"/>
      <w:numFmt w:val="upp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2">
    <w:nsid w:val="646260FA"/>
    <w:multiLevelType w:val="multilevel"/>
    <w:tmpl w:val="646260FA"/>
    <w:lvl w:ilvl="0" w:tentative="0">
      <w:start w:val="1"/>
      <w:numFmt w:val="decimal"/>
      <w:pStyle w:val="117"/>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3">
    <w:nsid w:val="654A26C9"/>
    <w:multiLevelType w:val="multilevel"/>
    <w:tmpl w:val="654A26C9"/>
    <w:lvl w:ilvl="0" w:tentative="0">
      <w:start w:val="1"/>
      <w:numFmt w:val="none"/>
      <w:pStyle w:val="194"/>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4">
    <w:nsid w:val="657D3FBC"/>
    <w:multiLevelType w:val="multilevel"/>
    <w:tmpl w:val="657D3FBC"/>
    <w:lvl w:ilvl="0" w:tentative="0">
      <w:start w:val="1"/>
      <w:numFmt w:val="upperLetter"/>
      <w:pStyle w:val="81"/>
      <w:suff w:val="nothing"/>
      <w:lvlText w:val="附录%1"/>
      <w:lvlJc w:val="left"/>
      <w:pPr>
        <w:ind w:left="0" w:firstLine="0"/>
      </w:pPr>
      <w:rPr>
        <w:rFonts w:hint="eastAsia"/>
        <w:spacing w:val="100"/>
      </w:rPr>
    </w:lvl>
    <w:lvl w:ilvl="1" w:tentative="0">
      <w:start w:val="1"/>
      <w:numFmt w:val="decimal"/>
      <w:pStyle w:val="83"/>
      <w:suff w:val="nothing"/>
      <w:lvlText w:val="%1.%2　"/>
      <w:lvlJc w:val="left"/>
      <w:pPr>
        <w:ind w:left="0" w:firstLine="0"/>
      </w:pPr>
      <w:rPr>
        <w:rFonts w:hint="eastAsia" w:ascii="黑体" w:eastAsia="黑体"/>
        <w:b w:val="0"/>
        <w:i w:val="0"/>
        <w:sz w:val="21"/>
      </w:rPr>
    </w:lvl>
    <w:lvl w:ilvl="2" w:tentative="0">
      <w:start w:val="1"/>
      <w:numFmt w:val="decimal"/>
      <w:pStyle w:val="84"/>
      <w:suff w:val="nothing"/>
      <w:lvlText w:val="%1.%2.%3　"/>
      <w:lvlJc w:val="left"/>
      <w:pPr>
        <w:ind w:left="0" w:firstLine="0"/>
      </w:pPr>
      <w:rPr>
        <w:rFonts w:hint="eastAsia" w:ascii="黑体" w:eastAsia="黑体"/>
        <w:b w:val="0"/>
        <w:i w:val="0"/>
        <w:sz w:val="21"/>
      </w:rPr>
    </w:lvl>
    <w:lvl w:ilvl="3" w:tentative="0">
      <w:start w:val="1"/>
      <w:numFmt w:val="decimal"/>
      <w:pStyle w:val="86"/>
      <w:suff w:val="nothing"/>
      <w:lvlText w:val="%1.%2.%3.%4　"/>
      <w:lvlJc w:val="left"/>
      <w:pPr>
        <w:ind w:left="0" w:firstLine="0"/>
      </w:pPr>
      <w:rPr>
        <w:rFonts w:hint="eastAsia" w:ascii="黑体" w:eastAsia="黑体"/>
        <w:b w:val="0"/>
        <w:i w:val="0"/>
        <w:sz w:val="21"/>
      </w:rPr>
    </w:lvl>
    <w:lvl w:ilvl="4" w:tentative="0">
      <w:start w:val="1"/>
      <w:numFmt w:val="decimal"/>
      <w:pStyle w:val="87"/>
      <w:suff w:val="nothing"/>
      <w:lvlText w:val="%1.%2.%3.%4.%5　"/>
      <w:lvlJc w:val="left"/>
      <w:pPr>
        <w:ind w:left="0" w:firstLine="0"/>
      </w:pPr>
      <w:rPr>
        <w:rFonts w:hint="eastAsia" w:ascii="黑体" w:eastAsia="黑体"/>
        <w:b w:val="0"/>
        <w:i w:val="0"/>
        <w:sz w:val="21"/>
      </w:rPr>
    </w:lvl>
    <w:lvl w:ilvl="5" w:tentative="0">
      <w:start w:val="1"/>
      <w:numFmt w:val="decimal"/>
      <w:pStyle w:val="89"/>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5">
    <w:nsid w:val="69506ABF"/>
    <w:multiLevelType w:val="multilevel"/>
    <w:tmpl w:val="69506ABF"/>
    <w:lvl w:ilvl="0" w:tentative="0">
      <w:start w:val="1"/>
      <w:numFmt w:val="bullet"/>
      <w:pStyle w:val="193"/>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6">
    <w:nsid w:val="6CA41985"/>
    <w:multiLevelType w:val="multilevel"/>
    <w:tmpl w:val="6CA41985"/>
    <w:lvl w:ilvl="0" w:tentative="0">
      <w:start w:val="1"/>
      <w:numFmt w:val="decimal"/>
      <w:pStyle w:val="102"/>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6CE42AC1"/>
    <w:multiLevelType w:val="multilevel"/>
    <w:tmpl w:val="6CE42AC1"/>
    <w:lvl w:ilvl="0" w:tentative="0">
      <w:start w:val="1"/>
      <w:numFmt w:val="lowerLetter"/>
      <w:pStyle w:val="17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CEA2025"/>
    <w:multiLevelType w:val="multilevel"/>
    <w:tmpl w:val="6CEA2025"/>
    <w:lvl w:ilvl="0" w:tentative="0">
      <w:start w:val="1"/>
      <w:numFmt w:val="none"/>
      <w:pStyle w:val="157"/>
      <w:suff w:val="nothing"/>
      <w:lvlText w:val="%1"/>
      <w:lvlJc w:val="left"/>
      <w:pPr>
        <w:ind w:left="0" w:firstLine="0"/>
      </w:pPr>
      <w:rPr>
        <w:rFonts w:hint="eastAsia"/>
      </w:rPr>
    </w:lvl>
    <w:lvl w:ilvl="1" w:tentative="0">
      <w:start w:val="1"/>
      <w:numFmt w:val="decimal"/>
      <w:pStyle w:val="109"/>
      <w:suff w:val="nothing"/>
      <w:lvlText w:val="%1%2　"/>
      <w:lvlJc w:val="left"/>
      <w:pPr>
        <w:ind w:left="0" w:firstLine="0"/>
      </w:pPr>
      <w:rPr>
        <w:rFonts w:hint="eastAsia" w:ascii="黑体" w:eastAsia="黑体"/>
        <w:b w:val="0"/>
        <w:i w:val="0"/>
        <w:sz w:val="21"/>
      </w:rPr>
    </w:lvl>
    <w:lvl w:ilvl="2" w:tentative="0">
      <w:start w:val="1"/>
      <w:numFmt w:val="decimal"/>
      <w:pStyle w:val="110"/>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70"/>
      <w:suff w:val="nothing"/>
      <w:lvlText w:val="%1%2.%3.%4　"/>
      <w:lvlJc w:val="left"/>
      <w:pPr>
        <w:ind w:left="0" w:firstLine="0"/>
      </w:pPr>
      <w:rPr>
        <w:rFonts w:hint="eastAsia" w:ascii="黑体" w:eastAsia="黑体"/>
        <w:b w:val="0"/>
        <w:i w:val="0"/>
        <w:sz w:val="21"/>
      </w:rPr>
    </w:lvl>
    <w:lvl w:ilvl="4" w:tentative="0">
      <w:start w:val="1"/>
      <w:numFmt w:val="decimal"/>
      <w:pStyle w:val="99"/>
      <w:suff w:val="nothing"/>
      <w:lvlText w:val="%1%2.%3.%4.%5　"/>
      <w:lvlJc w:val="left"/>
      <w:pPr>
        <w:ind w:left="0" w:firstLine="0"/>
      </w:pPr>
      <w:rPr>
        <w:rFonts w:hint="eastAsia" w:ascii="黑体" w:eastAsia="黑体"/>
        <w:b w:val="0"/>
        <w:i w:val="0"/>
        <w:sz w:val="21"/>
      </w:rPr>
    </w:lvl>
    <w:lvl w:ilvl="5" w:tentative="0">
      <w:start w:val="1"/>
      <w:numFmt w:val="decimal"/>
      <w:pStyle w:val="103"/>
      <w:suff w:val="nothing"/>
      <w:lvlText w:val="%1%2.%3.%4.%5.%6　"/>
      <w:lvlJc w:val="left"/>
      <w:pPr>
        <w:ind w:left="0" w:firstLine="0"/>
      </w:pPr>
      <w:rPr>
        <w:rFonts w:hint="eastAsia" w:ascii="黑体" w:eastAsia="黑体"/>
        <w:b w:val="0"/>
        <w:i w:val="0"/>
        <w:sz w:val="21"/>
      </w:rPr>
    </w:lvl>
    <w:lvl w:ilvl="6" w:tentative="0">
      <w:start w:val="1"/>
      <w:numFmt w:val="decimal"/>
      <w:pStyle w:val="108"/>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9">
    <w:nsid w:val="6DBF04F4"/>
    <w:multiLevelType w:val="multilevel"/>
    <w:tmpl w:val="6DBF04F4"/>
    <w:lvl w:ilvl="0" w:tentative="0">
      <w:start w:val="1"/>
      <w:numFmt w:val="none"/>
      <w:pStyle w:val="184"/>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0">
    <w:nsid w:val="6DF35F19"/>
    <w:multiLevelType w:val="multilevel"/>
    <w:tmpl w:val="6DF35F19"/>
    <w:lvl w:ilvl="0" w:tentative="0">
      <w:start w:val="1"/>
      <w:numFmt w:val="decimal"/>
      <w:pStyle w:val="120"/>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1">
    <w:nsid w:val="76933334"/>
    <w:multiLevelType w:val="multilevel"/>
    <w:tmpl w:val="76933334"/>
    <w:lvl w:ilvl="0" w:tentative="0">
      <w:start w:val="1"/>
      <w:numFmt w:val="none"/>
      <w:pStyle w:val="144"/>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8"/>
  </w:num>
  <w:num w:numId="3">
    <w:abstractNumId w:val="5"/>
  </w:num>
  <w:num w:numId="4">
    <w:abstractNumId w:val="24"/>
  </w:num>
  <w:num w:numId="5">
    <w:abstractNumId w:val="19"/>
  </w:num>
  <w:num w:numId="6">
    <w:abstractNumId w:val="13"/>
  </w:num>
  <w:num w:numId="7">
    <w:abstractNumId w:val="8"/>
  </w:num>
  <w:num w:numId="8">
    <w:abstractNumId w:val="3"/>
  </w:num>
  <w:num w:numId="9">
    <w:abstractNumId w:val="9"/>
  </w:num>
  <w:num w:numId="10">
    <w:abstractNumId w:val="17"/>
  </w:num>
  <w:num w:numId="11">
    <w:abstractNumId w:val="26"/>
  </w:num>
  <w:num w:numId="12">
    <w:abstractNumId w:val="11"/>
  </w:num>
  <w:num w:numId="13">
    <w:abstractNumId w:val="12"/>
  </w:num>
  <w:num w:numId="14">
    <w:abstractNumId w:val="7"/>
  </w:num>
  <w:num w:numId="15">
    <w:abstractNumId w:val="20"/>
  </w:num>
  <w:num w:numId="16">
    <w:abstractNumId w:val="22"/>
  </w:num>
  <w:num w:numId="17">
    <w:abstractNumId w:val="18"/>
  </w:num>
  <w:num w:numId="18">
    <w:abstractNumId w:val="30"/>
  </w:num>
  <w:num w:numId="19">
    <w:abstractNumId w:val="16"/>
  </w:num>
  <w:num w:numId="20">
    <w:abstractNumId w:val="1"/>
  </w:num>
  <w:num w:numId="21">
    <w:abstractNumId w:val="10"/>
  </w:num>
  <w:num w:numId="22">
    <w:abstractNumId w:val="31"/>
  </w:num>
  <w:num w:numId="23">
    <w:abstractNumId w:val="21"/>
  </w:num>
  <w:num w:numId="24">
    <w:abstractNumId w:val="6"/>
  </w:num>
  <w:num w:numId="25">
    <w:abstractNumId w:val="27"/>
  </w:num>
  <w:num w:numId="26">
    <w:abstractNumId w:val="29"/>
  </w:num>
  <w:num w:numId="27">
    <w:abstractNumId w:val="2"/>
  </w:num>
  <w:num w:numId="28">
    <w:abstractNumId w:val="4"/>
  </w:num>
  <w:num w:numId="29">
    <w:abstractNumId w:val="14"/>
  </w:num>
  <w:num w:numId="30">
    <w:abstractNumId w:val="25"/>
  </w:num>
  <w:num w:numId="31">
    <w:abstractNumId w:val="2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attachedTemplate r:id="rId1"/>
  <w:documentProtection w:edit="forms"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D85"/>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4249A"/>
    <w:rsid w:val="00042C8C"/>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1CFC"/>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2D85"/>
    <w:rsid w:val="000E4C9E"/>
    <w:rsid w:val="000E6FD7"/>
    <w:rsid w:val="000E7144"/>
    <w:rsid w:val="000F06E1"/>
    <w:rsid w:val="000F0E3C"/>
    <w:rsid w:val="000F19D5"/>
    <w:rsid w:val="000F4050"/>
    <w:rsid w:val="000F4AEA"/>
    <w:rsid w:val="000F67E9"/>
    <w:rsid w:val="00104926"/>
    <w:rsid w:val="00113B1E"/>
    <w:rsid w:val="00114A2D"/>
    <w:rsid w:val="0011711C"/>
    <w:rsid w:val="00124E4F"/>
    <w:rsid w:val="001260B7"/>
    <w:rsid w:val="001265CB"/>
    <w:rsid w:val="001321C6"/>
    <w:rsid w:val="001325C4"/>
    <w:rsid w:val="00133010"/>
    <w:rsid w:val="001338EE"/>
    <w:rsid w:val="00133AAE"/>
    <w:rsid w:val="00135323"/>
    <w:rsid w:val="001356C4"/>
    <w:rsid w:val="00137565"/>
    <w:rsid w:val="00141114"/>
    <w:rsid w:val="00142969"/>
    <w:rsid w:val="001446C2"/>
    <w:rsid w:val="001457E7"/>
    <w:rsid w:val="00145D9D"/>
    <w:rsid w:val="00146388"/>
    <w:rsid w:val="001529E5"/>
    <w:rsid w:val="00152FB3"/>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87A0B"/>
    <w:rsid w:val="00190087"/>
    <w:rsid w:val="001913C4"/>
    <w:rsid w:val="0019348F"/>
    <w:rsid w:val="00193A07"/>
    <w:rsid w:val="00194C95"/>
    <w:rsid w:val="00195C34"/>
    <w:rsid w:val="00196EF5"/>
    <w:rsid w:val="001A1A53"/>
    <w:rsid w:val="001A234A"/>
    <w:rsid w:val="001A4CF3"/>
    <w:rsid w:val="001A6696"/>
    <w:rsid w:val="001B06E8"/>
    <w:rsid w:val="001B71D0"/>
    <w:rsid w:val="001B71EE"/>
    <w:rsid w:val="001C04A8"/>
    <w:rsid w:val="001C2C03"/>
    <w:rsid w:val="001C42F7"/>
    <w:rsid w:val="001C49E5"/>
    <w:rsid w:val="001C680C"/>
    <w:rsid w:val="001C7FEA"/>
    <w:rsid w:val="001D0499"/>
    <w:rsid w:val="001D0BBE"/>
    <w:rsid w:val="001D0ED4"/>
    <w:rsid w:val="001D2033"/>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FA5"/>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EDD"/>
    <w:rsid w:val="003331E4"/>
    <w:rsid w:val="00336C64"/>
    <w:rsid w:val="00337162"/>
    <w:rsid w:val="0034194F"/>
    <w:rsid w:val="00344605"/>
    <w:rsid w:val="003474AA"/>
    <w:rsid w:val="00350D1D"/>
    <w:rsid w:val="00352C83"/>
    <w:rsid w:val="00352F1A"/>
    <w:rsid w:val="0036107C"/>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1D1"/>
    <w:rsid w:val="003A1582"/>
    <w:rsid w:val="003A3D9C"/>
    <w:rsid w:val="003A4077"/>
    <w:rsid w:val="003A4AA7"/>
    <w:rsid w:val="003B09AD"/>
    <w:rsid w:val="003B1F18"/>
    <w:rsid w:val="003B5BF0"/>
    <w:rsid w:val="003B60BF"/>
    <w:rsid w:val="003B6BE3"/>
    <w:rsid w:val="003C010C"/>
    <w:rsid w:val="003C0A6C"/>
    <w:rsid w:val="003C14F8"/>
    <w:rsid w:val="003C5A43"/>
    <w:rsid w:val="003D0519"/>
    <w:rsid w:val="003D0FF6"/>
    <w:rsid w:val="003D262C"/>
    <w:rsid w:val="003D6D61"/>
    <w:rsid w:val="003E019F"/>
    <w:rsid w:val="003E091D"/>
    <w:rsid w:val="003E1C53"/>
    <w:rsid w:val="003E2A69"/>
    <w:rsid w:val="003E2D49"/>
    <w:rsid w:val="003E2FD4"/>
    <w:rsid w:val="003E49F6"/>
    <w:rsid w:val="003E660F"/>
    <w:rsid w:val="003F0841"/>
    <w:rsid w:val="003F23CE"/>
    <w:rsid w:val="003F23D3"/>
    <w:rsid w:val="003F3F08"/>
    <w:rsid w:val="003F49F1"/>
    <w:rsid w:val="003F6272"/>
    <w:rsid w:val="00400E72"/>
    <w:rsid w:val="00401400"/>
    <w:rsid w:val="00404869"/>
    <w:rsid w:val="00405884"/>
    <w:rsid w:val="00407D39"/>
    <w:rsid w:val="00412D40"/>
    <w:rsid w:val="0041477A"/>
    <w:rsid w:val="004167A3"/>
    <w:rsid w:val="00432DAA"/>
    <w:rsid w:val="00434305"/>
    <w:rsid w:val="00435DF7"/>
    <w:rsid w:val="0043741A"/>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94CC8"/>
    <w:rsid w:val="004A12DF"/>
    <w:rsid w:val="004A1BA8"/>
    <w:rsid w:val="004A4B57"/>
    <w:rsid w:val="004A63FA"/>
    <w:rsid w:val="004A6A3D"/>
    <w:rsid w:val="004B0272"/>
    <w:rsid w:val="004B2701"/>
    <w:rsid w:val="004B2E1B"/>
    <w:rsid w:val="004B3AA8"/>
    <w:rsid w:val="004B3E93"/>
    <w:rsid w:val="004C1FBC"/>
    <w:rsid w:val="004C25A2"/>
    <w:rsid w:val="004C3F1D"/>
    <w:rsid w:val="004C458D"/>
    <w:rsid w:val="004C7556"/>
    <w:rsid w:val="004C7E8B"/>
    <w:rsid w:val="004C7E9D"/>
    <w:rsid w:val="004C7F67"/>
    <w:rsid w:val="004D076D"/>
    <w:rsid w:val="004D0EF1"/>
    <w:rsid w:val="004D2253"/>
    <w:rsid w:val="004D4406"/>
    <w:rsid w:val="004D51D8"/>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746"/>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2308"/>
    <w:rsid w:val="005627F5"/>
    <w:rsid w:val="0056487B"/>
    <w:rsid w:val="00564FB9"/>
    <w:rsid w:val="00573D9E"/>
    <w:rsid w:val="005801E3"/>
    <w:rsid w:val="00581802"/>
    <w:rsid w:val="005836A8"/>
    <w:rsid w:val="0058409C"/>
    <w:rsid w:val="00584262"/>
    <w:rsid w:val="00586630"/>
    <w:rsid w:val="00587ADD"/>
    <w:rsid w:val="00593A49"/>
    <w:rsid w:val="00594EF0"/>
    <w:rsid w:val="00596160"/>
    <w:rsid w:val="005966E2"/>
    <w:rsid w:val="00597007"/>
    <w:rsid w:val="005A0966"/>
    <w:rsid w:val="005A11B7"/>
    <w:rsid w:val="005A260B"/>
    <w:rsid w:val="005A4A1B"/>
    <w:rsid w:val="005A7830"/>
    <w:rsid w:val="005A7FCE"/>
    <w:rsid w:val="005B0F3F"/>
    <w:rsid w:val="005B161B"/>
    <w:rsid w:val="005B191C"/>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4250"/>
    <w:rsid w:val="005E6812"/>
    <w:rsid w:val="005E7881"/>
    <w:rsid w:val="005E78E0"/>
    <w:rsid w:val="005F0D9C"/>
    <w:rsid w:val="005F284E"/>
    <w:rsid w:val="006015CE"/>
    <w:rsid w:val="00601EEA"/>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879D7"/>
    <w:rsid w:val="00693962"/>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E1B"/>
    <w:rsid w:val="00725949"/>
    <w:rsid w:val="00726C74"/>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43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2207"/>
    <w:rsid w:val="00783ECF"/>
    <w:rsid w:val="0078413A"/>
    <w:rsid w:val="007959E8"/>
    <w:rsid w:val="00795E9C"/>
    <w:rsid w:val="007A0521"/>
    <w:rsid w:val="007A2E12"/>
    <w:rsid w:val="007A3475"/>
    <w:rsid w:val="007A41C8"/>
    <w:rsid w:val="007A54CE"/>
    <w:rsid w:val="007A5D3A"/>
    <w:rsid w:val="007A6FD9"/>
    <w:rsid w:val="007A7FFA"/>
    <w:rsid w:val="007B04EB"/>
    <w:rsid w:val="007B0D4F"/>
    <w:rsid w:val="007B5A3D"/>
    <w:rsid w:val="007B5B95"/>
    <w:rsid w:val="007B6032"/>
    <w:rsid w:val="007B68EA"/>
    <w:rsid w:val="007B7453"/>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1D19"/>
    <w:rsid w:val="00823303"/>
    <w:rsid w:val="008233B2"/>
    <w:rsid w:val="00823A9F"/>
    <w:rsid w:val="00823C85"/>
    <w:rsid w:val="00825138"/>
    <w:rsid w:val="008269DD"/>
    <w:rsid w:val="00830621"/>
    <w:rsid w:val="0083348C"/>
    <w:rsid w:val="008373D3"/>
    <w:rsid w:val="00840617"/>
    <w:rsid w:val="00840F84"/>
    <w:rsid w:val="00842A47"/>
    <w:rsid w:val="00843C13"/>
    <w:rsid w:val="00843DEF"/>
    <w:rsid w:val="008454F8"/>
    <w:rsid w:val="0085173A"/>
    <w:rsid w:val="00852EAD"/>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73B"/>
    <w:rsid w:val="008A1893"/>
    <w:rsid w:val="008A40F6"/>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6A7C"/>
    <w:rsid w:val="008D7B54"/>
    <w:rsid w:val="008E0C9D"/>
    <w:rsid w:val="008E1648"/>
    <w:rsid w:val="008E1B3E"/>
    <w:rsid w:val="008E2319"/>
    <w:rsid w:val="008E4BB6"/>
    <w:rsid w:val="008E5518"/>
    <w:rsid w:val="008E6A84"/>
    <w:rsid w:val="008E7982"/>
    <w:rsid w:val="008F0CDC"/>
    <w:rsid w:val="008F17A3"/>
    <w:rsid w:val="008F1ED3"/>
    <w:rsid w:val="008F3518"/>
    <w:rsid w:val="008F4C29"/>
    <w:rsid w:val="008F70BD"/>
    <w:rsid w:val="008F788F"/>
    <w:rsid w:val="008F7EA2"/>
    <w:rsid w:val="00902722"/>
    <w:rsid w:val="009027BC"/>
    <w:rsid w:val="009062E6"/>
    <w:rsid w:val="00911BE5"/>
    <w:rsid w:val="00913CA9"/>
    <w:rsid w:val="009145AE"/>
    <w:rsid w:val="009146CE"/>
    <w:rsid w:val="009147F4"/>
    <w:rsid w:val="00914CA7"/>
    <w:rsid w:val="00915C3E"/>
    <w:rsid w:val="009161A8"/>
    <w:rsid w:val="009245AE"/>
    <w:rsid w:val="009245F5"/>
    <w:rsid w:val="009249EC"/>
    <w:rsid w:val="009273B3"/>
    <w:rsid w:val="009305B5"/>
    <w:rsid w:val="009378DD"/>
    <w:rsid w:val="009429D5"/>
    <w:rsid w:val="00942BF1"/>
    <w:rsid w:val="00945180"/>
    <w:rsid w:val="00945428"/>
    <w:rsid w:val="0094607B"/>
    <w:rsid w:val="00953604"/>
    <w:rsid w:val="0095496B"/>
    <w:rsid w:val="00960F1E"/>
    <w:rsid w:val="009610DC"/>
    <w:rsid w:val="00961490"/>
    <w:rsid w:val="0096381A"/>
    <w:rsid w:val="00965E04"/>
    <w:rsid w:val="009674AD"/>
    <w:rsid w:val="00970CDC"/>
    <w:rsid w:val="00975727"/>
    <w:rsid w:val="00977010"/>
    <w:rsid w:val="00977D02"/>
    <w:rsid w:val="00977FF9"/>
    <w:rsid w:val="009809BB"/>
    <w:rsid w:val="0098364B"/>
    <w:rsid w:val="009908A3"/>
    <w:rsid w:val="009911AF"/>
    <w:rsid w:val="00991875"/>
    <w:rsid w:val="00991F92"/>
    <w:rsid w:val="00992985"/>
    <w:rsid w:val="00993889"/>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C27F1"/>
    <w:rsid w:val="009C3152"/>
    <w:rsid w:val="009C3257"/>
    <w:rsid w:val="009C4CFA"/>
    <w:rsid w:val="009C5070"/>
    <w:rsid w:val="009D112C"/>
    <w:rsid w:val="009D1385"/>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1E63"/>
    <w:rsid w:val="00A2271D"/>
    <w:rsid w:val="00A237D5"/>
    <w:rsid w:val="00A30EFC"/>
    <w:rsid w:val="00A31984"/>
    <w:rsid w:val="00A32D73"/>
    <w:rsid w:val="00A3367B"/>
    <w:rsid w:val="00A33C67"/>
    <w:rsid w:val="00A3597D"/>
    <w:rsid w:val="00A36DD1"/>
    <w:rsid w:val="00A4006C"/>
    <w:rsid w:val="00A40091"/>
    <w:rsid w:val="00A4030F"/>
    <w:rsid w:val="00A41C79"/>
    <w:rsid w:val="00A41CB5"/>
    <w:rsid w:val="00A42CDF"/>
    <w:rsid w:val="00A43EA9"/>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52D7"/>
    <w:rsid w:val="00A963F7"/>
    <w:rsid w:val="00A96AD8"/>
    <w:rsid w:val="00AA052C"/>
    <w:rsid w:val="00AA1E45"/>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2A69"/>
    <w:rsid w:val="00AE37E5"/>
    <w:rsid w:val="00AE5EB4"/>
    <w:rsid w:val="00AF0C18"/>
    <w:rsid w:val="00AF47C5"/>
    <w:rsid w:val="00AF5398"/>
    <w:rsid w:val="00B049AF"/>
    <w:rsid w:val="00B06560"/>
    <w:rsid w:val="00B07242"/>
    <w:rsid w:val="00B10534"/>
    <w:rsid w:val="00B113DB"/>
    <w:rsid w:val="00B11D8A"/>
    <w:rsid w:val="00B12981"/>
    <w:rsid w:val="00B147DD"/>
    <w:rsid w:val="00B156FD"/>
    <w:rsid w:val="00B1570A"/>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4C8D"/>
    <w:rsid w:val="00C25FE2"/>
    <w:rsid w:val="00C26B53"/>
    <w:rsid w:val="00C279B2"/>
    <w:rsid w:val="00C33E50"/>
    <w:rsid w:val="00C34C20"/>
    <w:rsid w:val="00C35A3E"/>
    <w:rsid w:val="00C42130"/>
    <w:rsid w:val="00C423A4"/>
    <w:rsid w:val="00C423E3"/>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686F"/>
    <w:rsid w:val="00CF6E60"/>
    <w:rsid w:val="00CF7BCA"/>
    <w:rsid w:val="00D008FD"/>
    <w:rsid w:val="00D0321C"/>
    <w:rsid w:val="00D035EC"/>
    <w:rsid w:val="00D06AB1"/>
    <w:rsid w:val="00D06FC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52A2"/>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87BF5"/>
    <w:rsid w:val="00D90721"/>
    <w:rsid w:val="00D926D0"/>
    <w:rsid w:val="00D93030"/>
    <w:rsid w:val="00D950E1"/>
    <w:rsid w:val="00D952A6"/>
    <w:rsid w:val="00D97F99"/>
    <w:rsid w:val="00DA1E08"/>
    <w:rsid w:val="00DA24F8"/>
    <w:rsid w:val="00DA28E8"/>
    <w:rsid w:val="00DA38D3"/>
    <w:rsid w:val="00DA3932"/>
    <w:rsid w:val="00DA3AFC"/>
    <w:rsid w:val="00DA64F8"/>
    <w:rsid w:val="00DA6C15"/>
    <w:rsid w:val="00DB0258"/>
    <w:rsid w:val="00DB38EE"/>
    <w:rsid w:val="00DB498B"/>
    <w:rsid w:val="00DB66CA"/>
    <w:rsid w:val="00DB6BCA"/>
    <w:rsid w:val="00DB6F54"/>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E01138"/>
    <w:rsid w:val="00E02DFB"/>
    <w:rsid w:val="00E030F9"/>
    <w:rsid w:val="00E0311A"/>
    <w:rsid w:val="00E03138"/>
    <w:rsid w:val="00E06404"/>
    <w:rsid w:val="00E11A85"/>
    <w:rsid w:val="00E12495"/>
    <w:rsid w:val="00E15CCD"/>
    <w:rsid w:val="00E202EF"/>
    <w:rsid w:val="00E210B5"/>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1219"/>
    <w:rsid w:val="00E62FF9"/>
    <w:rsid w:val="00E635D6"/>
    <w:rsid w:val="00E639BC"/>
    <w:rsid w:val="00E664CC"/>
    <w:rsid w:val="00E70388"/>
    <w:rsid w:val="00E70F92"/>
    <w:rsid w:val="00E74313"/>
    <w:rsid w:val="00E74C54"/>
    <w:rsid w:val="00E77A03"/>
    <w:rsid w:val="00E822E8"/>
    <w:rsid w:val="00E82554"/>
    <w:rsid w:val="00E82606"/>
    <w:rsid w:val="00E831C1"/>
    <w:rsid w:val="00E846C8"/>
    <w:rsid w:val="00E84957"/>
    <w:rsid w:val="00E84A55"/>
    <w:rsid w:val="00E85BFF"/>
    <w:rsid w:val="00E90391"/>
    <w:rsid w:val="00E906C2"/>
    <w:rsid w:val="00E9311F"/>
    <w:rsid w:val="00E934D1"/>
    <w:rsid w:val="00E94AF0"/>
    <w:rsid w:val="00E95D13"/>
    <w:rsid w:val="00E95DD3"/>
    <w:rsid w:val="00E969D5"/>
    <w:rsid w:val="00E97B85"/>
    <w:rsid w:val="00EA58D1"/>
    <w:rsid w:val="00EA61BC"/>
    <w:rsid w:val="00EA681A"/>
    <w:rsid w:val="00EA735B"/>
    <w:rsid w:val="00EB1E69"/>
    <w:rsid w:val="00EB2086"/>
    <w:rsid w:val="00EB31ED"/>
    <w:rsid w:val="00EB5EDF"/>
    <w:rsid w:val="00EB60FE"/>
    <w:rsid w:val="00EB74DB"/>
    <w:rsid w:val="00EC5359"/>
    <w:rsid w:val="00EC562A"/>
    <w:rsid w:val="00ED067A"/>
    <w:rsid w:val="00ED2264"/>
    <w:rsid w:val="00ED2B50"/>
    <w:rsid w:val="00EE0350"/>
    <w:rsid w:val="00EE0719"/>
    <w:rsid w:val="00EE0E80"/>
    <w:rsid w:val="00EE20E8"/>
    <w:rsid w:val="00EE613F"/>
    <w:rsid w:val="00EE7295"/>
    <w:rsid w:val="00EE7869"/>
    <w:rsid w:val="00EF054A"/>
    <w:rsid w:val="00EF3235"/>
    <w:rsid w:val="00EF4ABD"/>
    <w:rsid w:val="00EF7E72"/>
    <w:rsid w:val="00F05455"/>
    <w:rsid w:val="00F06D37"/>
    <w:rsid w:val="00F07B9D"/>
    <w:rsid w:val="00F11586"/>
    <w:rsid w:val="00F1183B"/>
    <w:rsid w:val="00F11C9F"/>
    <w:rsid w:val="00F12263"/>
    <w:rsid w:val="00F1409D"/>
    <w:rsid w:val="00F14214"/>
    <w:rsid w:val="00F157A9"/>
    <w:rsid w:val="00F16F00"/>
    <w:rsid w:val="00F25BB6"/>
    <w:rsid w:val="00F26B7E"/>
    <w:rsid w:val="00F27A3B"/>
    <w:rsid w:val="00F32780"/>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6AC9"/>
    <w:rsid w:val="00FF730C"/>
    <w:rsid w:val="00FF73F4"/>
    <w:rsid w:val="00FF7CE4"/>
    <w:rsid w:val="00FF7E39"/>
    <w:rsid w:val="02B93F9C"/>
    <w:rsid w:val="02E70A40"/>
    <w:rsid w:val="0978425B"/>
    <w:rsid w:val="0B3F64A2"/>
    <w:rsid w:val="0C583B32"/>
    <w:rsid w:val="0D55289F"/>
    <w:rsid w:val="0DBF1F7B"/>
    <w:rsid w:val="10146EE8"/>
    <w:rsid w:val="15CB4DD2"/>
    <w:rsid w:val="15E6061E"/>
    <w:rsid w:val="161A3F9E"/>
    <w:rsid w:val="180841A7"/>
    <w:rsid w:val="18FC1232"/>
    <w:rsid w:val="19B81AED"/>
    <w:rsid w:val="1A7D66E6"/>
    <w:rsid w:val="1B47336C"/>
    <w:rsid w:val="1C303F4D"/>
    <w:rsid w:val="222861CF"/>
    <w:rsid w:val="23F0675E"/>
    <w:rsid w:val="26AA04DC"/>
    <w:rsid w:val="2975689D"/>
    <w:rsid w:val="29E543B1"/>
    <w:rsid w:val="2C7A1CCF"/>
    <w:rsid w:val="342807AB"/>
    <w:rsid w:val="346E6803"/>
    <w:rsid w:val="35D3648E"/>
    <w:rsid w:val="39C9085A"/>
    <w:rsid w:val="3A8404D4"/>
    <w:rsid w:val="3C4912C0"/>
    <w:rsid w:val="3DCE50EF"/>
    <w:rsid w:val="41546AD7"/>
    <w:rsid w:val="42014F0D"/>
    <w:rsid w:val="46E501D5"/>
    <w:rsid w:val="47D02A86"/>
    <w:rsid w:val="4965569B"/>
    <w:rsid w:val="4AB77724"/>
    <w:rsid w:val="4CF83380"/>
    <w:rsid w:val="4D6C0FAE"/>
    <w:rsid w:val="4DA15097"/>
    <w:rsid w:val="4EB72953"/>
    <w:rsid w:val="4F7B74BC"/>
    <w:rsid w:val="51422684"/>
    <w:rsid w:val="515F79A9"/>
    <w:rsid w:val="577949F3"/>
    <w:rsid w:val="587404A0"/>
    <w:rsid w:val="5A4F5C5A"/>
    <w:rsid w:val="5BED31C6"/>
    <w:rsid w:val="5F5673F5"/>
    <w:rsid w:val="601B069C"/>
    <w:rsid w:val="608B2761"/>
    <w:rsid w:val="60DF561A"/>
    <w:rsid w:val="61497B2C"/>
    <w:rsid w:val="63C16B56"/>
    <w:rsid w:val="66456B14"/>
    <w:rsid w:val="67241AD4"/>
    <w:rsid w:val="694E17D6"/>
    <w:rsid w:val="6B8E6784"/>
    <w:rsid w:val="6C6D165C"/>
    <w:rsid w:val="6CF25111"/>
    <w:rsid w:val="6DE10D51"/>
    <w:rsid w:val="70174317"/>
    <w:rsid w:val="71A35C7D"/>
    <w:rsid w:val="79AD146C"/>
    <w:rsid w:val="7D1646C8"/>
    <w:rsid w:val="7DCA6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1"/>
    <w:qFormat/>
    <w:uiPriority w:val="0"/>
    <w:pPr>
      <w:keepNext/>
      <w:keepLines/>
      <w:spacing w:before="260" w:after="260" w:line="416" w:lineRule="auto"/>
      <w:outlineLvl w:val="2"/>
    </w:pPr>
    <w:rPr>
      <w:b/>
      <w:bCs/>
      <w:sz w:val="32"/>
      <w:szCs w:val="32"/>
    </w:rPr>
  </w:style>
  <w:style w:type="paragraph" w:styleId="5">
    <w:name w:val="heading 4"/>
    <w:basedOn w:val="1"/>
    <w:next w:val="1"/>
    <w:link w:val="4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3"/>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4"/>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5"/>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6"/>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7"/>
    <w:qFormat/>
    <w:uiPriority w:val="0"/>
    <w:pPr>
      <w:keepNext/>
      <w:keepLines/>
      <w:adjustRightInd/>
      <w:spacing w:before="240" w:after="64" w:line="320"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link w:val="238"/>
    <w:semiHidden/>
    <w:unhideWhenUsed/>
    <w:qFormat/>
    <w:uiPriority w:val="99"/>
    <w:pPr>
      <w:jc w:val="left"/>
    </w:pPr>
  </w:style>
  <w:style w:type="paragraph" w:styleId="14">
    <w:name w:val="Body Text"/>
    <w:basedOn w:val="1"/>
    <w:link w:val="91"/>
    <w:qFormat/>
    <w:uiPriority w:val="0"/>
    <w:pPr>
      <w:spacing w:after="120"/>
    </w:pPr>
  </w:style>
  <w:style w:type="paragraph" w:styleId="15">
    <w:name w:val="Body Text Indent"/>
    <w:basedOn w:val="1"/>
    <w:link w:val="236"/>
    <w:semiHidden/>
    <w:unhideWhenUsed/>
    <w:qFormat/>
    <w:uiPriority w:val="99"/>
    <w:pPr>
      <w:spacing w:after="120"/>
      <w:ind w:left="420" w:leftChars="200"/>
    </w:pPr>
  </w:style>
  <w:style w:type="paragraph" w:styleId="16">
    <w:name w:val="toc 5"/>
    <w:basedOn w:val="1"/>
    <w:next w:val="1"/>
    <w:autoRedefine/>
    <w:unhideWhenUsed/>
    <w:qFormat/>
    <w:uiPriority w:val="39"/>
    <w:pPr>
      <w:ind w:left="839"/>
    </w:pPr>
    <w:rPr>
      <w:rFonts w:ascii="宋体"/>
    </w:rPr>
  </w:style>
  <w:style w:type="paragraph" w:styleId="17">
    <w:name w:val="toc 3"/>
    <w:basedOn w:val="1"/>
    <w:next w:val="1"/>
    <w:autoRedefine/>
    <w:unhideWhenUsed/>
    <w:qFormat/>
    <w:uiPriority w:val="39"/>
    <w:pPr>
      <w:spacing w:line="300" w:lineRule="exact"/>
      <w:ind w:left="420"/>
    </w:pPr>
    <w:rPr>
      <w:rFonts w:ascii="宋体"/>
    </w:rPr>
  </w:style>
  <w:style w:type="paragraph" w:styleId="18">
    <w:name w:val="Balloon Text"/>
    <w:basedOn w:val="1"/>
    <w:link w:val="50"/>
    <w:semiHidden/>
    <w:unhideWhenUsed/>
    <w:qFormat/>
    <w:uiPriority w:val="99"/>
    <w:rPr>
      <w:sz w:val="18"/>
      <w:szCs w:val="18"/>
    </w:rPr>
  </w:style>
  <w:style w:type="paragraph" w:styleId="19">
    <w:name w:val="footer"/>
    <w:basedOn w:val="1"/>
    <w:link w:val="49"/>
    <w:qFormat/>
    <w:uiPriority w:val="99"/>
    <w:pPr>
      <w:tabs>
        <w:tab w:val="center" w:pos="4153"/>
        <w:tab w:val="right" w:pos="8306"/>
      </w:tabs>
      <w:adjustRightInd/>
      <w:snapToGrid w:val="0"/>
      <w:spacing w:line="240" w:lineRule="auto"/>
      <w:jc w:val="right"/>
    </w:pPr>
    <w:rPr>
      <w:rFonts w:ascii="宋体"/>
      <w:sz w:val="18"/>
      <w:szCs w:val="18"/>
    </w:rPr>
  </w:style>
  <w:style w:type="paragraph" w:styleId="20">
    <w:name w:val="header"/>
    <w:basedOn w:val="1"/>
    <w:link w:val="48"/>
    <w:qFormat/>
    <w:uiPriority w:val="99"/>
    <w:pPr>
      <w:tabs>
        <w:tab w:val="center" w:pos="4153"/>
        <w:tab w:val="right" w:pos="8306"/>
      </w:tabs>
      <w:adjustRightInd/>
      <w:snapToGrid w:val="0"/>
      <w:jc w:val="center"/>
    </w:pPr>
    <w:rPr>
      <w:sz w:val="18"/>
      <w:szCs w:val="18"/>
    </w:rPr>
  </w:style>
  <w:style w:type="paragraph" w:styleId="21">
    <w:name w:val="toc 1"/>
    <w:basedOn w:val="1"/>
    <w:next w:val="1"/>
    <w:autoRedefine/>
    <w:unhideWhenUsed/>
    <w:qFormat/>
    <w:uiPriority w:val="39"/>
    <w:rPr>
      <w:rFonts w:ascii="宋体"/>
    </w:rPr>
  </w:style>
  <w:style w:type="paragraph" w:styleId="22">
    <w:name w:val="toc 4"/>
    <w:basedOn w:val="1"/>
    <w:next w:val="1"/>
    <w:autoRedefine/>
    <w:unhideWhenUsed/>
    <w:qFormat/>
    <w:uiPriority w:val="39"/>
    <w:pPr>
      <w:tabs>
        <w:tab w:val="right" w:leader="dot" w:pos="9344"/>
      </w:tabs>
      <w:spacing w:line="300" w:lineRule="exact"/>
      <w:ind w:left="629"/>
    </w:pPr>
    <w:rPr>
      <w:rFonts w:ascii="宋体"/>
    </w:rPr>
  </w:style>
  <w:style w:type="paragraph" w:styleId="23">
    <w:name w:val="footnote text"/>
    <w:basedOn w:val="1"/>
    <w:next w:val="1"/>
    <w:link w:val="104"/>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4">
    <w:name w:val="toc 6"/>
    <w:basedOn w:val="1"/>
    <w:next w:val="1"/>
    <w:autoRedefine/>
    <w:unhideWhenUsed/>
    <w:qFormat/>
    <w:uiPriority w:val="39"/>
    <w:pPr>
      <w:spacing w:line="300" w:lineRule="exact"/>
      <w:ind w:left="1049"/>
    </w:pPr>
    <w:rPr>
      <w:rFonts w:ascii="宋体"/>
    </w:rPr>
  </w:style>
  <w:style w:type="paragraph" w:styleId="25">
    <w:name w:val="table of figures"/>
    <w:basedOn w:val="1"/>
    <w:next w:val="1"/>
    <w:semiHidden/>
    <w:qFormat/>
    <w:uiPriority w:val="0"/>
    <w:pPr>
      <w:adjustRightInd/>
      <w:spacing w:line="240" w:lineRule="auto"/>
      <w:jc w:val="left"/>
    </w:pPr>
    <w:rPr>
      <w:szCs w:val="24"/>
    </w:rPr>
  </w:style>
  <w:style w:type="paragraph" w:styleId="26">
    <w:name w:val="toc 2"/>
    <w:basedOn w:val="1"/>
    <w:next w:val="1"/>
    <w:autoRedefine/>
    <w:unhideWhenUsed/>
    <w:qFormat/>
    <w:uiPriority w:val="39"/>
    <w:pPr>
      <w:tabs>
        <w:tab w:val="right" w:leader="dot" w:pos="9344"/>
      </w:tabs>
      <w:spacing w:line="300" w:lineRule="exact"/>
      <w:ind w:left="210"/>
    </w:pPr>
    <w:rPr>
      <w:rFonts w:ascii="宋体"/>
    </w:rPr>
  </w:style>
  <w:style w:type="paragraph" w:styleId="2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8">
    <w:name w:val="Title"/>
    <w:basedOn w:val="1"/>
    <w:link w:val="53"/>
    <w:qFormat/>
    <w:uiPriority w:val="0"/>
    <w:pPr>
      <w:spacing w:before="240" w:after="60"/>
      <w:jc w:val="center"/>
      <w:outlineLvl w:val="0"/>
    </w:pPr>
    <w:rPr>
      <w:rFonts w:ascii="Arial" w:hAnsi="Arial" w:cs="Arial"/>
      <w:b/>
      <w:bCs/>
      <w:sz w:val="32"/>
      <w:szCs w:val="32"/>
    </w:rPr>
  </w:style>
  <w:style w:type="paragraph" w:styleId="29">
    <w:name w:val="annotation subject"/>
    <w:basedOn w:val="13"/>
    <w:next w:val="13"/>
    <w:link w:val="239"/>
    <w:semiHidden/>
    <w:unhideWhenUsed/>
    <w:qFormat/>
    <w:uiPriority w:val="99"/>
    <w:rPr>
      <w:b/>
      <w:bCs/>
    </w:rPr>
  </w:style>
  <w:style w:type="table" w:styleId="31">
    <w:name w:val="Table Grid"/>
    <w:basedOn w:val="3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22"/>
    <w:rPr>
      <w:b/>
      <w:bCs/>
    </w:rPr>
  </w:style>
  <w:style w:type="character" w:styleId="34">
    <w:name w:val="page number"/>
    <w:qFormat/>
    <w:uiPriority w:val="0"/>
    <w:rPr>
      <w:rFonts w:ascii="宋体" w:hAnsi="Times New Roman" w:eastAsia="宋体"/>
      <w:sz w:val="18"/>
    </w:rPr>
  </w:style>
  <w:style w:type="character" w:styleId="35">
    <w:name w:val="Emphasis"/>
    <w:qFormat/>
    <w:uiPriority w:val="20"/>
    <w:rPr>
      <w:i/>
      <w:iCs/>
    </w:rPr>
  </w:style>
  <w:style w:type="character" w:styleId="36">
    <w:name w:val="Hyperlink"/>
    <w:basedOn w:val="32"/>
    <w:qFormat/>
    <w:uiPriority w:val="99"/>
    <w:rPr>
      <w:rFonts w:ascii="宋体" w:hAnsi="Times New Roman" w:eastAsia="宋体"/>
      <w:color w:val="auto"/>
      <w:spacing w:val="0"/>
      <w:w w:val="100"/>
      <w:position w:val="0"/>
      <w:sz w:val="21"/>
      <w:u w:val="none"/>
      <w:vertAlign w:val="baseline"/>
    </w:rPr>
  </w:style>
  <w:style w:type="character" w:styleId="37">
    <w:name w:val="annotation reference"/>
    <w:basedOn w:val="32"/>
    <w:semiHidden/>
    <w:unhideWhenUsed/>
    <w:qFormat/>
    <w:uiPriority w:val="99"/>
    <w:rPr>
      <w:sz w:val="21"/>
      <w:szCs w:val="21"/>
    </w:rPr>
  </w:style>
  <w:style w:type="character" w:styleId="38">
    <w:name w:val="footnote reference"/>
    <w:semiHidden/>
    <w:qFormat/>
    <w:uiPriority w:val="0"/>
    <w:rPr>
      <w:rFonts w:ascii="宋体" w:hAnsi="宋体" w:eastAsia="宋体" w:cs="Times New Roman"/>
      <w:spacing w:val="0"/>
      <w:sz w:val="18"/>
      <w:vertAlign w:val="superscript"/>
    </w:rPr>
  </w:style>
  <w:style w:type="character" w:customStyle="1" w:styleId="39">
    <w:name w:val="标题 1 Char"/>
    <w:link w:val="2"/>
    <w:qFormat/>
    <w:uiPriority w:val="0"/>
    <w:rPr>
      <w:b/>
      <w:bCs/>
      <w:kern w:val="44"/>
      <w:sz w:val="44"/>
      <w:szCs w:val="44"/>
    </w:rPr>
  </w:style>
  <w:style w:type="character" w:customStyle="1" w:styleId="40">
    <w:name w:val="标题 2 Char"/>
    <w:link w:val="3"/>
    <w:qFormat/>
    <w:uiPriority w:val="0"/>
    <w:rPr>
      <w:rFonts w:ascii="Arial" w:hAnsi="Arial" w:eastAsia="黑体"/>
      <w:b/>
      <w:bCs/>
      <w:kern w:val="2"/>
      <w:sz w:val="32"/>
      <w:szCs w:val="32"/>
    </w:rPr>
  </w:style>
  <w:style w:type="character" w:customStyle="1" w:styleId="41">
    <w:name w:val="标题 3 Char"/>
    <w:link w:val="4"/>
    <w:qFormat/>
    <w:uiPriority w:val="0"/>
    <w:rPr>
      <w:b/>
      <w:bCs/>
      <w:kern w:val="2"/>
      <w:sz w:val="32"/>
      <w:szCs w:val="32"/>
    </w:rPr>
  </w:style>
  <w:style w:type="character" w:customStyle="1" w:styleId="42">
    <w:name w:val="标题 4 Char"/>
    <w:link w:val="5"/>
    <w:qFormat/>
    <w:uiPriority w:val="0"/>
    <w:rPr>
      <w:rFonts w:ascii="Arial" w:hAnsi="Arial" w:eastAsia="黑体"/>
      <w:b/>
      <w:bCs/>
      <w:kern w:val="2"/>
      <w:sz w:val="28"/>
      <w:szCs w:val="28"/>
    </w:rPr>
  </w:style>
  <w:style w:type="character" w:customStyle="1" w:styleId="43">
    <w:name w:val="标题 5 Char"/>
    <w:link w:val="6"/>
    <w:qFormat/>
    <w:uiPriority w:val="0"/>
    <w:rPr>
      <w:b/>
      <w:bCs/>
      <w:kern w:val="2"/>
      <w:sz w:val="28"/>
      <w:szCs w:val="28"/>
    </w:rPr>
  </w:style>
  <w:style w:type="character" w:customStyle="1" w:styleId="44">
    <w:name w:val="标题 6 Char"/>
    <w:link w:val="7"/>
    <w:qFormat/>
    <w:uiPriority w:val="0"/>
    <w:rPr>
      <w:rFonts w:ascii="Arial" w:hAnsi="Arial" w:eastAsia="黑体"/>
      <w:b/>
      <w:bCs/>
      <w:kern w:val="2"/>
      <w:sz w:val="24"/>
      <w:szCs w:val="24"/>
    </w:rPr>
  </w:style>
  <w:style w:type="character" w:customStyle="1" w:styleId="45">
    <w:name w:val="标题 7 Char"/>
    <w:link w:val="8"/>
    <w:qFormat/>
    <w:uiPriority w:val="0"/>
    <w:rPr>
      <w:b/>
      <w:bCs/>
      <w:kern w:val="2"/>
      <w:sz w:val="24"/>
      <w:szCs w:val="24"/>
    </w:rPr>
  </w:style>
  <w:style w:type="character" w:customStyle="1" w:styleId="46">
    <w:name w:val="标题 8 Char"/>
    <w:link w:val="9"/>
    <w:qFormat/>
    <w:uiPriority w:val="0"/>
    <w:rPr>
      <w:rFonts w:ascii="Arial" w:hAnsi="Arial" w:eastAsia="黑体"/>
      <w:kern w:val="2"/>
      <w:sz w:val="24"/>
      <w:szCs w:val="24"/>
    </w:rPr>
  </w:style>
  <w:style w:type="character" w:customStyle="1" w:styleId="47">
    <w:name w:val="标题 9 Char"/>
    <w:link w:val="10"/>
    <w:qFormat/>
    <w:uiPriority w:val="0"/>
    <w:rPr>
      <w:rFonts w:ascii="Arial" w:hAnsi="Arial" w:eastAsia="黑体"/>
      <w:kern w:val="2"/>
      <w:sz w:val="21"/>
      <w:szCs w:val="21"/>
    </w:rPr>
  </w:style>
  <w:style w:type="character" w:customStyle="1" w:styleId="48">
    <w:name w:val="页眉 Char"/>
    <w:link w:val="20"/>
    <w:qFormat/>
    <w:uiPriority w:val="99"/>
    <w:rPr>
      <w:kern w:val="2"/>
      <w:sz w:val="18"/>
      <w:szCs w:val="18"/>
    </w:rPr>
  </w:style>
  <w:style w:type="character" w:customStyle="1" w:styleId="49">
    <w:name w:val="页脚 Char"/>
    <w:link w:val="19"/>
    <w:qFormat/>
    <w:uiPriority w:val="99"/>
    <w:rPr>
      <w:rFonts w:ascii="宋体"/>
      <w:kern w:val="2"/>
      <w:sz w:val="18"/>
      <w:szCs w:val="18"/>
    </w:rPr>
  </w:style>
  <w:style w:type="character" w:customStyle="1" w:styleId="50">
    <w:name w:val="批注框文本 Char"/>
    <w:link w:val="18"/>
    <w:semiHidden/>
    <w:qFormat/>
    <w:uiPriority w:val="99"/>
    <w:rPr>
      <w:kern w:val="2"/>
      <w:sz w:val="18"/>
      <w:szCs w:val="18"/>
    </w:rPr>
  </w:style>
  <w:style w:type="paragraph" w:styleId="51">
    <w:name w:val="Quote"/>
    <w:basedOn w:val="1"/>
    <w:next w:val="1"/>
    <w:link w:val="52"/>
    <w:qFormat/>
    <w:uiPriority w:val="29"/>
    <w:rPr>
      <w:i/>
      <w:iCs/>
      <w:color w:val="000000"/>
    </w:rPr>
  </w:style>
  <w:style w:type="character" w:customStyle="1" w:styleId="52">
    <w:name w:val="引用 Char"/>
    <w:link w:val="51"/>
    <w:qFormat/>
    <w:uiPriority w:val="29"/>
    <w:rPr>
      <w:i/>
      <w:iCs/>
      <w:color w:val="000000"/>
      <w:kern w:val="2"/>
      <w:sz w:val="21"/>
      <w:szCs w:val="21"/>
    </w:rPr>
  </w:style>
  <w:style w:type="character" w:customStyle="1" w:styleId="53">
    <w:name w:val="标题 Char"/>
    <w:link w:val="28"/>
    <w:qFormat/>
    <w:uiPriority w:val="0"/>
    <w:rPr>
      <w:rFonts w:ascii="Arial" w:hAnsi="Arial" w:cs="Arial"/>
      <w:b/>
      <w:bCs/>
      <w:kern w:val="2"/>
      <w:sz w:val="32"/>
      <w:szCs w:val="32"/>
    </w:rPr>
  </w:style>
  <w:style w:type="paragraph" w:customStyle="1" w:styleId="54">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6">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7">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8">
    <w:name w:val="标准书眉一"/>
    <w:qFormat/>
    <w:uiPriority w:val="0"/>
    <w:pPr>
      <w:jc w:val="both"/>
    </w:pPr>
    <w:rPr>
      <w:rFonts w:ascii="Times New Roman" w:hAnsi="Times New Roman" w:eastAsia="宋体" w:cs="Times New Roman"/>
      <w:lang w:val="en-US" w:eastAsia="zh-CN" w:bidi="ar-SA"/>
    </w:rPr>
  </w:style>
  <w:style w:type="paragraph" w:customStyle="1" w:styleId="59">
    <w:name w:val="标准文件_ICS"/>
    <w:basedOn w:val="1"/>
    <w:qFormat/>
    <w:uiPriority w:val="0"/>
    <w:pPr>
      <w:spacing w:line="0" w:lineRule="atLeast"/>
    </w:pPr>
    <w:rPr>
      <w:rFonts w:ascii="黑体" w:hAnsi="宋体" w:eastAsia="黑体"/>
    </w:rPr>
  </w:style>
  <w:style w:type="paragraph" w:customStyle="1" w:styleId="60">
    <w:name w:val="标准文件_标准正文"/>
    <w:basedOn w:val="1"/>
    <w:next w:val="61"/>
    <w:qFormat/>
    <w:uiPriority w:val="0"/>
    <w:pPr>
      <w:snapToGrid w:val="0"/>
      <w:ind w:firstLine="200" w:firstLineChars="200"/>
    </w:pPr>
    <w:rPr>
      <w:kern w:val="0"/>
    </w:rPr>
  </w:style>
  <w:style w:type="paragraph" w:customStyle="1" w:styleId="61">
    <w:name w:val="标准文件_段"/>
    <w:link w:val="189"/>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2">
    <w:name w:val="标准文件_版本"/>
    <w:basedOn w:val="60"/>
    <w:qFormat/>
    <w:uiPriority w:val="0"/>
    <w:pPr>
      <w:adjustRightInd/>
      <w:snapToGrid/>
      <w:ind w:firstLine="0" w:firstLineChars="0"/>
    </w:pPr>
    <w:rPr>
      <w:rFonts w:ascii="宋体" w:hAnsi="宋体"/>
      <w:kern w:val="2"/>
    </w:rPr>
  </w:style>
  <w:style w:type="paragraph" w:customStyle="1" w:styleId="63">
    <w:name w:val="标准文件_标准部门"/>
    <w:basedOn w:val="1"/>
    <w:qFormat/>
    <w:uiPriority w:val="0"/>
    <w:pPr>
      <w:jc w:val="center"/>
    </w:pPr>
    <w:rPr>
      <w:rFonts w:ascii="黑体" w:eastAsia="黑体"/>
      <w:kern w:val="0"/>
      <w:sz w:val="44"/>
    </w:rPr>
  </w:style>
  <w:style w:type="paragraph" w:customStyle="1" w:styleId="64">
    <w:name w:val="标准文件_标准代替"/>
    <w:basedOn w:val="1"/>
    <w:next w:val="1"/>
    <w:qFormat/>
    <w:uiPriority w:val="0"/>
    <w:pPr>
      <w:spacing w:line="310" w:lineRule="exact"/>
      <w:jc w:val="right"/>
    </w:pPr>
    <w:rPr>
      <w:rFonts w:ascii="宋体" w:hAnsi="宋体"/>
      <w:kern w:val="0"/>
    </w:rPr>
  </w:style>
  <w:style w:type="paragraph" w:customStyle="1" w:styleId="65">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6">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7">
    <w:name w:val="标准文件_页眉偶数页"/>
    <w:basedOn w:val="66"/>
    <w:next w:val="1"/>
    <w:qFormat/>
    <w:uiPriority w:val="0"/>
    <w:pPr>
      <w:jc w:val="left"/>
    </w:pPr>
  </w:style>
  <w:style w:type="paragraph" w:customStyle="1" w:styleId="68">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9">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70">
    <w:name w:val="标准文件_二级条标题"/>
    <w:next w:val="61"/>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71">
    <w:name w:val="标准文件_发布"/>
    <w:qFormat/>
    <w:uiPriority w:val="0"/>
    <w:rPr>
      <w:rFonts w:ascii="黑体" w:eastAsia="黑体"/>
      <w:spacing w:val="0"/>
      <w:w w:val="100"/>
      <w:position w:val="3"/>
      <w:sz w:val="28"/>
    </w:rPr>
  </w:style>
  <w:style w:type="paragraph" w:customStyle="1" w:styleId="72">
    <w:name w:val="标准文件_方框数字列项"/>
    <w:basedOn w:val="61"/>
    <w:qFormat/>
    <w:uiPriority w:val="0"/>
    <w:pPr>
      <w:numPr>
        <w:ilvl w:val="0"/>
        <w:numId w:val="3"/>
      </w:numPr>
      <w:ind w:firstLine="0" w:firstLineChars="0"/>
    </w:pPr>
  </w:style>
  <w:style w:type="paragraph" w:customStyle="1" w:styleId="73">
    <w:name w:val="标准文件_封面标准编号"/>
    <w:basedOn w:val="1"/>
    <w:next w:val="64"/>
    <w:qFormat/>
    <w:uiPriority w:val="0"/>
    <w:pPr>
      <w:spacing w:line="310" w:lineRule="exact"/>
      <w:jc w:val="right"/>
    </w:pPr>
    <w:rPr>
      <w:rFonts w:ascii="黑体" w:eastAsia="黑体"/>
      <w:kern w:val="0"/>
      <w:sz w:val="28"/>
    </w:rPr>
  </w:style>
  <w:style w:type="paragraph" w:customStyle="1" w:styleId="74">
    <w:name w:val="标准文件_封面标准分类号"/>
    <w:basedOn w:val="1"/>
    <w:qFormat/>
    <w:uiPriority w:val="0"/>
    <w:rPr>
      <w:rFonts w:ascii="黑体" w:eastAsia="黑体"/>
      <w:b/>
      <w:kern w:val="0"/>
      <w:sz w:val="28"/>
    </w:rPr>
  </w:style>
  <w:style w:type="paragraph" w:customStyle="1" w:styleId="75">
    <w:name w:val="标准文件_封面标准名称"/>
    <w:basedOn w:val="1"/>
    <w:qFormat/>
    <w:uiPriority w:val="0"/>
    <w:pPr>
      <w:spacing w:line="240" w:lineRule="auto"/>
      <w:jc w:val="center"/>
    </w:pPr>
    <w:rPr>
      <w:rFonts w:ascii="黑体" w:eastAsia="黑体"/>
      <w:kern w:val="0"/>
      <w:sz w:val="52"/>
    </w:rPr>
  </w:style>
  <w:style w:type="paragraph" w:customStyle="1" w:styleId="76">
    <w:name w:val="标准文件_封面标准英文名称"/>
    <w:basedOn w:val="1"/>
    <w:qFormat/>
    <w:uiPriority w:val="0"/>
    <w:pPr>
      <w:spacing w:line="240" w:lineRule="auto"/>
      <w:jc w:val="center"/>
    </w:pPr>
    <w:rPr>
      <w:rFonts w:ascii="黑体" w:eastAsia="黑体"/>
      <w:b/>
      <w:sz w:val="28"/>
    </w:rPr>
  </w:style>
  <w:style w:type="paragraph" w:customStyle="1" w:styleId="77">
    <w:name w:val="标准文件_封面发布日期"/>
    <w:basedOn w:val="1"/>
    <w:qFormat/>
    <w:uiPriority w:val="0"/>
    <w:pPr>
      <w:spacing w:line="310" w:lineRule="exact"/>
    </w:pPr>
    <w:rPr>
      <w:rFonts w:ascii="黑体" w:eastAsia="黑体"/>
      <w:kern w:val="0"/>
      <w:sz w:val="28"/>
    </w:rPr>
  </w:style>
  <w:style w:type="paragraph" w:customStyle="1" w:styleId="78">
    <w:name w:val="标准文件_封面密级"/>
    <w:basedOn w:val="1"/>
    <w:qFormat/>
    <w:uiPriority w:val="0"/>
    <w:rPr>
      <w:rFonts w:eastAsia="黑体"/>
      <w:sz w:val="32"/>
    </w:rPr>
  </w:style>
  <w:style w:type="paragraph" w:customStyle="1" w:styleId="79">
    <w:name w:val="标准文件_封面实施日期"/>
    <w:basedOn w:val="1"/>
    <w:qFormat/>
    <w:uiPriority w:val="0"/>
    <w:pPr>
      <w:spacing w:line="310" w:lineRule="exact"/>
      <w:jc w:val="right"/>
    </w:pPr>
    <w:rPr>
      <w:rFonts w:ascii="黑体" w:eastAsia="黑体"/>
      <w:sz w:val="28"/>
    </w:rPr>
  </w:style>
  <w:style w:type="paragraph" w:customStyle="1" w:styleId="80">
    <w:name w:val="标准文件_封面抬头"/>
    <w:basedOn w:val="61"/>
    <w:qFormat/>
    <w:uiPriority w:val="0"/>
    <w:pPr>
      <w:adjustRightInd w:val="0"/>
      <w:spacing w:line="800" w:lineRule="exact"/>
      <w:ind w:firstLine="0" w:firstLineChars="0"/>
      <w:jc w:val="distribute"/>
    </w:pPr>
    <w:rPr>
      <w:rFonts w:ascii="黑体" w:eastAsia="黑体"/>
      <w:b/>
      <w:sz w:val="64"/>
    </w:rPr>
  </w:style>
  <w:style w:type="paragraph" w:customStyle="1" w:styleId="81">
    <w:name w:val="标准文件_附录标识"/>
    <w:next w:val="61"/>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82">
    <w:name w:val="标准文件_附录表标题"/>
    <w:next w:val="61"/>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3">
    <w:name w:val="标准文件_附录一级条标题"/>
    <w:next w:val="61"/>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4">
    <w:name w:val="标准文件_附录二级条标题"/>
    <w:basedOn w:val="83"/>
    <w:next w:val="61"/>
    <w:qFormat/>
    <w:uiPriority w:val="0"/>
    <w:pPr>
      <w:widowControl/>
      <w:numPr>
        <w:ilvl w:val="2"/>
      </w:numPr>
      <w:wordWrap w:val="0"/>
      <w:overflowPunct w:val="0"/>
      <w:autoSpaceDE w:val="0"/>
      <w:autoSpaceDN w:val="0"/>
      <w:textAlignment w:val="baseline"/>
      <w:outlineLvl w:val="3"/>
    </w:pPr>
  </w:style>
  <w:style w:type="paragraph" w:customStyle="1" w:styleId="85">
    <w:name w:val="标准文件_附录公式"/>
    <w:basedOn w:val="60"/>
    <w:next w:val="60"/>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6">
    <w:name w:val="标准文件_附录三级条标题"/>
    <w:next w:val="61"/>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7">
    <w:name w:val="标准文件_附录四级条标题"/>
    <w:next w:val="61"/>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8">
    <w:name w:val="标准文件_附录图标题"/>
    <w:next w:val="61"/>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9">
    <w:name w:val="标准文件_附录五级条标题"/>
    <w:next w:val="61"/>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90">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1">
    <w:name w:val="正文文本 Char"/>
    <w:link w:val="14"/>
    <w:qFormat/>
    <w:uiPriority w:val="0"/>
    <w:rPr>
      <w:kern w:val="2"/>
      <w:sz w:val="21"/>
      <w:szCs w:val="21"/>
    </w:rPr>
  </w:style>
  <w:style w:type="paragraph" w:customStyle="1" w:styleId="92">
    <w:name w:val="标准文件_附录章标题"/>
    <w:next w:val="61"/>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3">
    <w:name w:val="标准文件_公式后的破折号"/>
    <w:basedOn w:val="61"/>
    <w:next w:val="61"/>
    <w:qFormat/>
    <w:uiPriority w:val="0"/>
    <w:pPr>
      <w:ind w:left="488" w:leftChars="200" w:hanging="289" w:hangingChars="290"/>
    </w:pPr>
  </w:style>
  <w:style w:type="paragraph" w:customStyle="1" w:styleId="94">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5">
    <w:name w:val="标准文件_目次、标准名称标题"/>
    <w:basedOn w:val="94"/>
    <w:next w:val="61"/>
    <w:qFormat/>
    <w:uiPriority w:val="0"/>
    <w:pPr>
      <w:spacing w:line="460" w:lineRule="exact"/>
      <w:ind w:left="0" w:firstLine="0"/>
    </w:pPr>
  </w:style>
  <w:style w:type="paragraph" w:customStyle="1" w:styleId="96">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7">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8">
    <w:name w:val="标准文件_破折号列项（二级）"/>
    <w:basedOn w:val="97"/>
    <w:qFormat/>
    <w:uiPriority w:val="0"/>
    <w:pPr>
      <w:numPr>
        <w:numId w:val="10"/>
      </w:numPr>
    </w:pPr>
  </w:style>
  <w:style w:type="paragraph" w:customStyle="1" w:styleId="99">
    <w:name w:val="标准文件_三级条标题"/>
    <w:basedOn w:val="70"/>
    <w:next w:val="61"/>
    <w:qFormat/>
    <w:uiPriority w:val="0"/>
    <w:pPr>
      <w:widowControl/>
      <w:numPr>
        <w:ilvl w:val="4"/>
      </w:numPr>
      <w:outlineLvl w:val="3"/>
    </w:pPr>
  </w:style>
  <w:style w:type="character" w:customStyle="1" w:styleId="100">
    <w:name w:val="不明显参考1"/>
    <w:qFormat/>
    <w:uiPriority w:val="31"/>
    <w:rPr>
      <w:smallCaps/>
      <w:color w:val="C0504D"/>
      <w:u w:val="single"/>
    </w:rPr>
  </w:style>
  <w:style w:type="paragraph" w:customStyle="1" w:styleId="101">
    <w:name w:val="标准文件_示例后续"/>
    <w:basedOn w:val="1"/>
    <w:qFormat/>
    <w:uiPriority w:val="0"/>
    <w:pPr>
      <w:adjustRightInd/>
      <w:spacing w:line="240" w:lineRule="auto"/>
      <w:ind w:firstLine="200" w:firstLineChars="200"/>
    </w:pPr>
    <w:rPr>
      <w:sz w:val="18"/>
      <w:szCs w:val="24"/>
    </w:rPr>
  </w:style>
  <w:style w:type="paragraph" w:customStyle="1" w:styleId="102">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3">
    <w:name w:val="标准文件_四级条标题"/>
    <w:next w:val="61"/>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4">
    <w:name w:val="脚注文本 Char"/>
    <w:link w:val="23"/>
    <w:semiHidden/>
    <w:qFormat/>
    <w:uiPriority w:val="0"/>
    <w:rPr>
      <w:rFonts w:ascii="宋体"/>
      <w:kern w:val="2"/>
      <w:sz w:val="18"/>
      <w:szCs w:val="18"/>
    </w:rPr>
  </w:style>
  <w:style w:type="paragraph" w:customStyle="1" w:styleId="105">
    <w:name w:val="标准文件_条文脚注"/>
    <w:basedOn w:val="23"/>
    <w:qFormat/>
    <w:uiPriority w:val="0"/>
    <w:pPr>
      <w:adjustRightInd w:val="0"/>
      <w:spacing w:line="240" w:lineRule="auto"/>
      <w:ind w:left="0" w:leftChars="0" w:firstLine="200" w:firstLineChars="200"/>
      <w:jc w:val="both"/>
    </w:pPr>
    <w:rPr>
      <w:rFonts w:hAnsi="宋体"/>
    </w:rPr>
  </w:style>
  <w:style w:type="paragraph" w:customStyle="1" w:styleId="106">
    <w:name w:val="标准文件_图表脚注"/>
    <w:basedOn w:val="1"/>
    <w:next w:val="61"/>
    <w:qFormat/>
    <w:uiPriority w:val="0"/>
    <w:pPr>
      <w:numPr>
        <w:ilvl w:val="0"/>
        <w:numId w:val="12"/>
      </w:numPr>
      <w:spacing w:line="240" w:lineRule="auto"/>
      <w:jc w:val="left"/>
    </w:pPr>
    <w:rPr>
      <w:rFonts w:ascii="宋体" w:hAnsi="宋体"/>
      <w:sz w:val="18"/>
    </w:rPr>
  </w:style>
  <w:style w:type="character" w:customStyle="1" w:styleId="107">
    <w:name w:val="标准文件_图表脚注内容"/>
    <w:qFormat/>
    <w:uiPriority w:val="0"/>
    <w:rPr>
      <w:rFonts w:ascii="宋体" w:hAnsi="宋体" w:eastAsia="宋体" w:cs="Times New Roman"/>
      <w:spacing w:val="0"/>
      <w:sz w:val="18"/>
      <w:vertAlign w:val="superscript"/>
    </w:rPr>
  </w:style>
  <w:style w:type="paragraph" w:customStyle="1" w:styleId="108">
    <w:name w:val="标准文件_五级条标题"/>
    <w:next w:val="61"/>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9">
    <w:name w:val="标准文件_章标题"/>
    <w:next w:val="61"/>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10">
    <w:name w:val="标准文件_一级条标题"/>
    <w:basedOn w:val="109"/>
    <w:next w:val="61"/>
    <w:qFormat/>
    <w:uiPriority w:val="0"/>
    <w:pPr>
      <w:numPr>
        <w:ilvl w:val="2"/>
      </w:numPr>
      <w:spacing w:before="50" w:beforeLines="50" w:after="50" w:afterLines="50"/>
      <w:outlineLvl w:val="1"/>
    </w:pPr>
  </w:style>
  <w:style w:type="paragraph" w:customStyle="1" w:styleId="111">
    <w:name w:val="标准文件_一致程度"/>
    <w:basedOn w:val="1"/>
    <w:qFormat/>
    <w:uiPriority w:val="0"/>
    <w:pPr>
      <w:spacing w:line="440" w:lineRule="exact"/>
      <w:jc w:val="center"/>
    </w:pPr>
    <w:rPr>
      <w:sz w:val="28"/>
    </w:rPr>
  </w:style>
  <w:style w:type="paragraph" w:customStyle="1" w:styleId="112">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3">
    <w:name w:val="标准文件_英文图表脚注"/>
    <w:basedOn w:val="60"/>
    <w:qFormat/>
    <w:uiPriority w:val="0"/>
    <w:pPr>
      <w:widowControl/>
      <w:adjustRightInd/>
      <w:snapToGrid/>
      <w:spacing w:line="240" w:lineRule="auto"/>
      <w:ind w:left="79" w:hanging="79" w:hangingChars="80"/>
    </w:pPr>
    <w:rPr>
      <w:rFonts w:ascii="宋体" w:hAnsi="宋体"/>
    </w:rPr>
  </w:style>
  <w:style w:type="paragraph" w:customStyle="1" w:styleId="114">
    <w:name w:val="标准文件_数字编号列项（二级）"/>
    <w:qFormat/>
    <w:uiPriority w:val="0"/>
    <w:pPr>
      <w:numPr>
        <w:ilvl w:val="1"/>
        <w:numId w:val="13"/>
      </w:numPr>
      <w:tabs>
        <w:tab w:val="left" w:pos="851"/>
      </w:tabs>
      <w:jc w:val="both"/>
    </w:pPr>
    <w:rPr>
      <w:rFonts w:ascii="宋体" w:hAnsi="Times New Roman" w:eastAsia="宋体" w:cs="Times New Roman"/>
      <w:sz w:val="21"/>
      <w:lang w:val="en-US" w:eastAsia="zh-CN" w:bidi="ar-SA"/>
    </w:rPr>
  </w:style>
  <w:style w:type="paragraph" w:customStyle="1" w:styleId="115">
    <w:name w:val="标准文件_英文注："/>
    <w:basedOn w:val="1"/>
    <w:next w:val="61"/>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6">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7">
    <w:name w:val="标准文件_正文表标题"/>
    <w:next w:val="61"/>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8">
    <w:name w:val="标准文件_正文公式"/>
    <w:basedOn w:val="1"/>
    <w:next w:val="60"/>
    <w:qFormat/>
    <w:uiPriority w:val="0"/>
    <w:pPr>
      <w:tabs>
        <w:tab w:val="center" w:pos="4678"/>
        <w:tab w:val="right" w:leader="middleDot" w:pos="9356"/>
      </w:tabs>
      <w:spacing w:line="240" w:lineRule="auto"/>
    </w:pPr>
    <w:rPr>
      <w:rFonts w:ascii="宋体" w:hAnsi="宋体"/>
    </w:rPr>
  </w:style>
  <w:style w:type="paragraph" w:customStyle="1" w:styleId="119">
    <w:name w:val="标准文件_正文图标题"/>
    <w:next w:val="61"/>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20">
    <w:name w:val="标准文件_正文英文表标题"/>
    <w:next w:val="61"/>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1">
    <w:name w:val="标准文件_正文英文图标题"/>
    <w:next w:val="61"/>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2">
    <w:name w:val="标准文件_编号列项（三级）"/>
    <w:qFormat/>
    <w:uiPriority w:val="0"/>
    <w:pPr>
      <w:numPr>
        <w:ilvl w:val="2"/>
        <w:numId w:val="13"/>
      </w:numPr>
      <w:tabs>
        <w:tab w:val="left" w:pos="851"/>
      </w:tabs>
    </w:pPr>
    <w:rPr>
      <w:rFonts w:ascii="宋体" w:hAnsi="Times New Roman" w:eastAsia="宋体" w:cs="Times New Roman"/>
      <w:sz w:val="21"/>
      <w:lang w:val="en-US" w:eastAsia="zh-CN" w:bidi="ar-SA"/>
    </w:rPr>
  </w:style>
  <w:style w:type="paragraph" w:customStyle="1" w:styleId="123">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4">
    <w:name w:val="发布部门"/>
    <w:next w:val="61"/>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5">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6">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9">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30">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1">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2">
    <w:name w:val="封面正文"/>
    <w:qFormat/>
    <w:uiPriority w:val="0"/>
    <w:pPr>
      <w:jc w:val="both"/>
    </w:pPr>
    <w:rPr>
      <w:rFonts w:ascii="Times New Roman" w:hAnsi="Times New Roman" w:eastAsia="宋体" w:cs="Times New Roman"/>
      <w:lang w:val="en-US" w:eastAsia="zh-CN" w:bidi="ar-SA"/>
    </w:rPr>
  </w:style>
  <w:style w:type="paragraph" w:customStyle="1" w:styleId="133">
    <w:name w:val="附录二级无标题条"/>
    <w:basedOn w:val="1"/>
    <w:next w:val="61"/>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4">
    <w:name w:val="附录三级无标题条"/>
    <w:basedOn w:val="133"/>
    <w:next w:val="61"/>
    <w:qFormat/>
    <w:uiPriority w:val="0"/>
    <w:pPr>
      <w:outlineLvl w:val="4"/>
    </w:pPr>
  </w:style>
  <w:style w:type="paragraph" w:customStyle="1" w:styleId="135">
    <w:name w:val="附录四级无标题条"/>
    <w:basedOn w:val="134"/>
    <w:next w:val="61"/>
    <w:qFormat/>
    <w:uiPriority w:val="0"/>
    <w:pPr>
      <w:outlineLvl w:val="5"/>
    </w:pPr>
  </w:style>
  <w:style w:type="paragraph" w:customStyle="1" w:styleId="136">
    <w:name w:val="附录图"/>
    <w:next w:val="61"/>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7">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8">
    <w:name w:val="附录五级无标题条"/>
    <w:basedOn w:val="135"/>
    <w:next w:val="61"/>
    <w:qFormat/>
    <w:uiPriority w:val="0"/>
    <w:pPr>
      <w:outlineLvl w:val="6"/>
    </w:pPr>
  </w:style>
  <w:style w:type="paragraph" w:customStyle="1" w:styleId="139">
    <w:name w:val="附录性质"/>
    <w:basedOn w:val="1"/>
    <w:qFormat/>
    <w:uiPriority w:val="0"/>
    <w:pPr>
      <w:widowControl/>
      <w:adjustRightInd/>
      <w:jc w:val="center"/>
    </w:pPr>
    <w:rPr>
      <w:rFonts w:ascii="黑体" w:eastAsia="黑体"/>
    </w:rPr>
  </w:style>
  <w:style w:type="paragraph" w:customStyle="1" w:styleId="140">
    <w:name w:val="附录一级无标题条"/>
    <w:basedOn w:val="92"/>
    <w:next w:val="61"/>
    <w:qFormat/>
    <w:uiPriority w:val="0"/>
    <w:pPr>
      <w:autoSpaceDN w:val="0"/>
      <w:outlineLvl w:val="2"/>
    </w:pPr>
    <w:rPr>
      <w:rFonts w:ascii="宋体" w:hAnsi="宋体" w:eastAsia="宋体"/>
    </w:rPr>
  </w:style>
  <w:style w:type="character" w:customStyle="1" w:styleId="141">
    <w:name w:val="个人答复风格"/>
    <w:qFormat/>
    <w:uiPriority w:val="0"/>
    <w:rPr>
      <w:rFonts w:ascii="Arial" w:hAnsi="Arial" w:eastAsia="宋体" w:cs="Arial"/>
      <w:color w:val="auto"/>
      <w:spacing w:val="0"/>
      <w:sz w:val="20"/>
    </w:rPr>
  </w:style>
  <w:style w:type="character" w:customStyle="1" w:styleId="142">
    <w:name w:val="个人撰写风格"/>
    <w:qFormat/>
    <w:uiPriority w:val="0"/>
    <w:rPr>
      <w:rFonts w:ascii="Arial" w:hAnsi="Arial" w:eastAsia="宋体" w:cs="Arial"/>
      <w:color w:val="auto"/>
      <w:spacing w:val="0"/>
      <w:sz w:val="20"/>
    </w:rPr>
  </w:style>
  <w:style w:type="paragraph" w:customStyle="1" w:styleId="143">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4">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5">
    <w:name w:val="列项·"/>
    <w:basedOn w:val="61"/>
    <w:qFormat/>
    <w:uiPriority w:val="0"/>
    <w:pPr>
      <w:tabs>
        <w:tab w:val="left" w:pos="840"/>
      </w:tabs>
    </w:pPr>
  </w:style>
  <w:style w:type="paragraph" w:customStyle="1" w:styleId="14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7">
    <w:name w:val="目录 21"/>
    <w:basedOn w:val="1"/>
    <w:next w:val="1"/>
    <w:autoRedefine/>
    <w:semiHidden/>
    <w:qFormat/>
    <w:uiPriority w:val="0"/>
    <w:pPr>
      <w:adjustRightInd/>
      <w:spacing w:line="240" w:lineRule="auto"/>
      <w:jc w:val="left"/>
    </w:pPr>
    <w:rPr>
      <w:bCs/>
      <w:iCs/>
    </w:rPr>
  </w:style>
  <w:style w:type="paragraph" w:customStyle="1" w:styleId="148">
    <w:name w:val="目录 31"/>
    <w:basedOn w:val="1"/>
    <w:next w:val="1"/>
    <w:autoRedefine/>
    <w:semiHidden/>
    <w:qFormat/>
    <w:uiPriority w:val="0"/>
    <w:pPr>
      <w:spacing w:line="240" w:lineRule="auto"/>
    </w:pPr>
    <w:rPr>
      <w:rFonts w:ascii="宋体" w:hAnsi="宋体"/>
      <w:iCs/>
    </w:rPr>
  </w:style>
  <w:style w:type="paragraph" w:customStyle="1" w:styleId="149">
    <w:name w:val="目录 41"/>
    <w:basedOn w:val="1"/>
    <w:next w:val="1"/>
    <w:autoRedefine/>
    <w:semiHidden/>
    <w:qFormat/>
    <w:uiPriority w:val="0"/>
    <w:pPr>
      <w:adjustRightInd/>
      <w:spacing w:line="240" w:lineRule="auto"/>
      <w:jc w:val="left"/>
    </w:pPr>
  </w:style>
  <w:style w:type="paragraph" w:customStyle="1" w:styleId="150">
    <w:name w:val="目录 51"/>
    <w:basedOn w:val="1"/>
    <w:next w:val="1"/>
    <w:autoRedefine/>
    <w:semiHidden/>
    <w:qFormat/>
    <w:uiPriority w:val="0"/>
    <w:pPr>
      <w:spacing w:line="240" w:lineRule="auto"/>
    </w:pPr>
    <w:rPr>
      <w:rFonts w:ascii="宋体" w:hAnsi="宋体"/>
    </w:rPr>
  </w:style>
  <w:style w:type="paragraph" w:customStyle="1" w:styleId="151">
    <w:name w:val="目录 61"/>
    <w:basedOn w:val="1"/>
    <w:next w:val="1"/>
    <w:autoRedefine/>
    <w:semiHidden/>
    <w:qFormat/>
    <w:uiPriority w:val="0"/>
    <w:pPr>
      <w:adjustRightInd/>
      <w:spacing w:line="240" w:lineRule="auto"/>
      <w:jc w:val="left"/>
    </w:pPr>
  </w:style>
  <w:style w:type="paragraph" w:customStyle="1" w:styleId="152">
    <w:name w:val="目录 71"/>
    <w:basedOn w:val="151"/>
    <w:autoRedefine/>
    <w:semiHidden/>
    <w:qFormat/>
    <w:uiPriority w:val="0"/>
    <w:pPr>
      <w:ind w:left="1260"/>
    </w:pPr>
  </w:style>
  <w:style w:type="paragraph" w:customStyle="1" w:styleId="153">
    <w:name w:val="目录 81"/>
    <w:basedOn w:val="152"/>
    <w:autoRedefine/>
    <w:semiHidden/>
    <w:qFormat/>
    <w:uiPriority w:val="0"/>
    <w:pPr>
      <w:ind w:left="1470"/>
    </w:pPr>
  </w:style>
  <w:style w:type="paragraph" w:customStyle="1" w:styleId="154">
    <w:name w:val="目录 91"/>
    <w:basedOn w:val="153"/>
    <w:autoRedefine/>
    <w:semiHidden/>
    <w:qFormat/>
    <w:uiPriority w:val="0"/>
    <w:pPr>
      <w:ind w:left="1680"/>
    </w:pPr>
  </w:style>
  <w:style w:type="paragraph" w:customStyle="1" w:styleId="15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6">
    <w:name w:val="其他发布部门"/>
    <w:basedOn w:val="124"/>
    <w:qFormat/>
    <w:uiPriority w:val="0"/>
    <w:pPr>
      <w:framePr w:wrap="around"/>
      <w:spacing w:line="0" w:lineRule="atLeast"/>
    </w:pPr>
    <w:rPr>
      <w:rFonts w:ascii="黑体" w:eastAsia="黑体"/>
      <w:b w:val="0"/>
    </w:rPr>
  </w:style>
  <w:style w:type="paragraph" w:customStyle="1" w:styleId="157">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8">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9">
    <w:name w:val="实施日期"/>
    <w:basedOn w:val="125"/>
    <w:qFormat/>
    <w:uiPriority w:val="0"/>
    <w:pPr>
      <w:framePr w:hSpace="0" w:wrap="around" w:xAlign="right"/>
      <w:jc w:val="right"/>
    </w:pPr>
  </w:style>
  <w:style w:type="paragraph" w:customStyle="1" w:styleId="160">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1">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2">
    <w:name w:val="无标题条"/>
    <w:next w:val="61"/>
    <w:qFormat/>
    <w:uiPriority w:val="0"/>
    <w:pPr>
      <w:jc w:val="both"/>
    </w:pPr>
    <w:rPr>
      <w:rFonts w:ascii="宋体" w:hAnsi="宋体" w:eastAsia="宋体" w:cs="Times New Roman"/>
      <w:sz w:val="21"/>
      <w:lang w:val="en-US" w:eastAsia="zh-CN" w:bidi="ar-SA"/>
    </w:rPr>
  </w:style>
  <w:style w:type="paragraph" w:customStyle="1" w:styleId="163">
    <w:name w:val="五级无标题条"/>
    <w:basedOn w:val="1"/>
    <w:qFormat/>
    <w:uiPriority w:val="0"/>
    <w:pPr>
      <w:numPr>
        <w:ilvl w:val="6"/>
        <w:numId w:val="20"/>
      </w:numPr>
      <w:adjustRightInd/>
    </w:pPr>
    <w:rPr>
      <w:szCs w:val="24"/>
    </w:rPr>
  </w:style>
  <w:style w:type="paragraph" w:customStyle="1" w:styleId="164">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5">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6">
    <w:name w:val="注×:后续"/>
    <w:basedOn w:val="165"/>
    <w:qFormat/>
    <w:uiPriority w:val="0"/>
    <w:pPr>
      <w:ind w:left="1406" w:leftChars="0" w:hanging="499" w:firstLineChars="0"/>
    </w:pPr>
  </w:style>
  <w:style w:type="paragraph" w:customStyle="1" w:styleId="167">
    <w:name w:val="标准文件_一级无标题"/>
    <w:basedOn w:val="110"/>
    <w:qFormat/>
    <w:uiPriority w:val="0"/>
    <w:pPr>
      <w:spacing w:before="0" w:beforeLines="0" w:after="0" w:afterLines="0"/>
      <w:outlineLvl w:val="9"/>
    </w:pPr>
    <w:rPr>
      <w:rFonts w:ascii="宋体" w:eastAsia="宋体"/>
    </w:rPr>
  </w:style>
  <w:style w:type="paragraph" w:customStyle="1" w:styleId="168">
    <w:name w:val="标准文件_五级无标题"/>
    <w:basedOn w:val="108"/>
    <w:qFormat/>
    <w:uiPriority w:val="0"/>
    <w:pPr>
      <w:spacing w:before="0" w:beforeLines="0" w:after="0" w:afterLines="0"/>
      <w:outlineLvl w:val="9"/>
    </w:pPr>
    <w:rPr>
      <w:rFonts w:ascii="宋体" w:eastAsia="宋体"/>
    </w:rPr>
  </w:style>
  <w:style w:type="paragraph" w:customStyle="1" w:styleId="169">
    <w:name w:val="标准文件_三级无标题"/>
    <w:basedOn w:val="99"/>
    <w:qFormat/>
    <w:uiPriority w:val="0"/>
    <w:pPr>
      <w:spacing w:before="0" w:beforeLines="0" w:after="0" w:afterLines="0"/>
      <w:outlineLvl w:val="9"/>
    </w:pPr>
    <w:rPr>
      <w:rFonts w:ascii="宋体" w:eastAsia="宋体"/>
    </w:rPr>
  </w:style>
  <w:style w:type="paragraph" w:customStyle="1" w:styleId="170">
    <w:name w:val="标准文件_二级无标题"/>
    <w:basedOn w:val="70"/>
    <w:qFormat/>
    <w:uiPriority w:val="0"/>
    <w:pPr>
      <w:spacing w:before="0" w:beforeLines="0" w:after="0" w:afterLines="0"/>
      <w:outlineLvl w:val="9"/>
    </w:pPr>
    <w:rPr>
      <w:rFonts w:ascii="宋体" w:eastAsia="宋体"/>
    </w:rPr>
  </w:style>
  <w:style w:type="paragraph" w:customStyle="1" w:styleId="171">
    <w:name w:val="标准_四级无标题"/>
    <w:basedOn w:val="103"/>
    <w:next w:val="61"/>
    <w:qFormat/>
    <w:uiPriority w:val="0"/>
    <w:rPr>
      <w:rFonts w:eastAsia="宋体"/>
    </w:rPr>
  </w:style>
  <w:style w:type="paragraph" w:customStyle="1" w:styleId="172">
    <w:name w:val="标准文件_四级无标题"/>
    <w:basedOn w:val="103"/>
    <w:qFormat/>
    <w:uiPriority w:val="0"/>
    <w:pPr>
      <w:spacing w:before="0" w:beforeLines="0" w:after="0" w:afterLines="0"/>
      <w:outlineLvl w:val="9"/>
    </w:pPr>
    <w:rPr>
      <w:rFonts w:ascii="宋体" w:hAnsi="黑体" w:eastAsia="宋体"/>
      <w:szCs w:val="52"/>
    </w:rPr>
  </w:style>
  <w:style w:type="paragraph" w:customStyle="1" w:styleId="173">
    <w:name w:val="标准文件_大写罗马数字编号列项"/>
    <w:basedOn w:val="61"/>
    <w:qFormat/>
    <w:uiPriority w:val="0"/>
    <w:pPr>
      <w:numPr>
        <w:ilvl w:val="0"/>
        <w:numId w:val="23"/>
      </w:numPr>
      <w:ind w:firstLine="0" w:firstLineChars="0"/>
    </w:pPr>
    <w:rPr>
      <w:rFonts w:ascii="Times New Roman" w:cs="Arial"/>
      <w:szCs w:val="28"/>
    </w:rPr>
  </w:style>
  <w:style w:type="paragraph" w:customStyle="1" w:styleId="174">
    <w:name w:val="标准文件_小写罗马数字编号列项"/>
    <w:basedOn w:val="61"/>
    <w:qFormat/>
    <w:uiPriority w:val="0"/>
    <w:pPr>
      <w:numPr>
        <w:ilvl w:val="0"/>
        <w:numId w:val="24"/>
      </w:numPr>
      <w:ind w:firstLine="0" w:firstLineChars="0"/>
    </w:pPr>
    <w:rPr>
      <w:rFonts w:cs="Arial"/>
      <w:szCs w:val="28"/>
    </w:rPr>
  </w:style>
  <w:style w:type="paragraph" w:customStyle="1" w:styleId="175">
    <w:name w:val="标准文件_附录标题"/>
    <w:basedOn w:val="81"/>
    <w:qFormat/>
    <w:uiPriority w:val="0"/>
    <w:pPr>
      <w:numPr>
        <w:numId w:val="0"/>
      </w:numPr>
      <w:spacing w:after="280"/>
      <w:outlineLvl w:val="9"/>
    </w:pPr>
  </w:style>
  <w:style w:type="paragraph" w:customStyle="1" w:styleId="176">
    <w:name w:val="标准文件_二级项"/>
    <w:qFormat/>
    <w:uiPriority w:val="0"/>
    <w:rPr>
      <w:rFonts w:ascii="宋体" w:hAnsi="Times New Roman" w:eastAsia="宋体" w:cs="Times New Roman"/>
      <w:sz w:val="21"/>
      <w:lang w:val="en-US" w:eastAsia="zh-CN" w:bidi="ar-SA"/>
    </w:rPr>
  </w:style>
  <w:style w:type="paragraph" w:customStyle="1" w:styleId="177">
    <w:name w:val="标准文件_三级项"/>
    <w:basedOn w:val="1"/>
    <w:qFormat/>
    <w:uiPriority w:val="0"/>
    <w:pPr>
      <w:numPr>
        <w:ilvl w:val="2"/>
        <w:numId w:val="21"/>
      </w:numPr>
      <w:spacing w:line="536870612" w:lineRule="auto"/>
    </w:pPr>
    <w:rPr>
      <w:rFonts w:ascii="Times New Roman" w:hAnsi="Times New Roman"/>
    </w:rPr>
  </w:style>
  <w:style w:type="paragraph" w:customStyle="1" w:styleId="178">
    <w:name w:val="图表脚注说明"/>
    <w:basedOn w:val="1"/>
    <w:next w:val="61"/>
    <w:qFormat/>
    <w:uiPriority w:val="0"/>
    <w:pPr>
      <w:numPr>
        <w:ilvl w:val="0"/>
        <w:numId w:val="25"/>
      </w:numPr>
      <w:adjustRightInd/>
      <w:spacing w:line="240" w:lineRule="auto"/>
    </w:pPr>
    <w:rPr>
      <w:rFonts w:ascii="宋体" w:hAnsi="Times New Roman"/>
      <w:sz w:val="18"/>
      <w:szCs w:val="18"/>
    </w:rPr>
  </w:style>
  <w:style w:type="paragraph" w:customStyle="1" w:styleId="179">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80">
    <w:name w:val="标准文件_索引字母"/>
    <w:next w:val="61"/>
    <w:qFormat/>
    <w:uiPriority w:val="0"/>
    <w:pPr>
      <w:jc w:val="center"/>
    </w:pPr>
    <w:rPr>
      <w:rFonts w:ascii="宋体" w:hAnsi="宋体" w:eastAsia="Times New Roman" w:cs="Times New Roman"/>
      <w:b/>
      <w:kern w:val="2"/>
      <w:sz w:val="21"/>
      <w:lang w:val="en-US" w:eastAsia="zh-CN" w:bidi="ar-SA"/>
    </w:rPr>
  </w:style>
  <w:style w:type="paragraph" w:customStyle="1" w:styleId="181">
    <w:name w:val="标准文件_附录前"/>
    <w:next w:val="61"/>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2">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3">
    <w:name w:val="标准文件_表格"/>
    <w:basedOn w:val="61"/>
    <w:qFormat/>
    <w:uiPriority w:val="0"/>
    <w:pPr>
      <w:ind w:firstLine="0" w:firstLineChars="0"/>
      <w:jc w:val="center"/>
    </w:pPr>
    <w:rPr>
      <w:sz w:val="18"/>
    </w:rPr>
  </w:style>
  <w:style w:type="paragraph" w:customStyle="1" w:styleId="184">
    <w:name w:val="标准文件_注："/>
    <w:next w:val="61"/>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6">
    <w:name w:val="标准文件_示例："/>
    <w:next w:val="187"/>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7">
    <w:name w:val="标准文件_示例内容"/>
    <w:basedOn w:val="61"/>
    <w:qFormat/>
    <w:uiPriority w:val="0"/>
    <w:pPr>
      <w:ind w:firstLine="420"/>
    </w:pPr>
    <w:rPr>
      <w:sz w:val="18"/>
    </w:rPr>
  </w:style>
  <w:style w:type="paragraph" w:customStyle="1" w:styleId="188">
    <w:name w:val="标准文件_示例×："/>
    <w:basedOn w:val="1"/>
    <w:next w:val="187"/>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9">
    <w:name w:val="标准文件_段 Char"/>
    <w:link w:val="61"/>
    <w:qFormat/>
    <w:uiPriority w:val="0"/>
    <w:rPr>
      <w:rFonts w:ascii="宋体" w:hAnsi="Times New Roman"/>
      <w:sz w:val="21"/>
    </w:rPr>
  </w:style>
  <w:style w:type="paragraph" w:customStyle="1" w:styleId="190">
    <w:name w:val="标准文件_表格续"/>
    <w:basedOn w:val="61"/>
    <w:next w:val="61"/>
    <w:qFormat/>
    <w:uiPriority w:val="0"/>
    <w:pPr>
      <w:jc w:val="center"/>
    </w:pPr>
    <w:rPr>
      <w:rFonts w:ascii="黑体" w:hAnsi="黑体" w:eastAsia="黑体"/>
    </w:rPr>
  </w:style>
  <w:style w:type="character" w:styleId="191">
    <w:name w:val="Placeholder Text"/>
    <w:basedOn w:val="32"/>
    <w:semiHidden/>
    <w:qFormat/>
    <w:uiPriority w:val="99"/>
    <w:rPr>
      <w:color w:val="808080"/>
    </w:rPr>
  </w:style>
  <w:style w:type="paragraph" w:customStyle="1" w:styleId="192">
    <w:name w:val="标准文件_二级项2"/>
    <w:basedOn w:val="61"/>
    <w:qFormat/>
    <w:uiPriority w:val="0"/>
    <w:pPr>
      <w:numPr>
        <w:ilvl w:val="1"/>
        <w:numId w:val="21"/>
      </w:numPr>
      <w:ind w:firstLine="0" w:firstLineChars="0"/>
    </w:pPr>
  </w:style>
  <w:style w:type="paragraph" w:customStyle="1" w:styleId="193">
    <w:name w:val="标准文件_三级项2"/>
    <w:basedOn w:val="61"/>
    <w:qFormat/>
    <w:uiPriority w:val="0"/>
    <w:pPr>
      <w:numPr>
        <w:ilvl w:val="0"/>
        <w:numId w:val="30"/>
      </w:numPr>
      <w:spacing w:line="300" w:lineRule="exact"/>
      <w:ind w:firstLineChars="0"/>
    </w:pPr>
    <w:rPr>
      <w:rFonts w:ascii="Times New Roman"/>
    </w:rPr>
  </w:style>
  <w:style w:type="paragraph" w:customStyle="1" w:styleId="194">
    <w:name w:val="标准文件_一级项2"/>
    <w:basedOn w:val="61"/>
    <w:qFormat/>
    <w:uiPriority w:val="0"/>
    <w:pPr>
      <w:numPr>
        <w:ilvl w:val="0"/>
        <w:numId w:val="31"/>
      </w:numPr>
      <w:spacing w:line="300" w:lineRule="exact"/>
      <w:ind w:firstLineChars="0"/>
    </w:pPr>
    <w:rPr>
      <w:rFonts w:ascii="Times New Roman"/>
    </w:rPr>
  </w:style>
  <w:style w:type="paragraph" w:customStyle="1" w:styleId="195">
    <w:name w:val="标准文件_提示"/>
    <w:basedOn w:val="61"/>
    <w:next w:val="61"/>
    <w:qFormat/>
    <w:uiPriority w:val="0"/>
    <w:pPr>
      <w:ind w:firstLine="420"/>
    </w:pPr>
    <w:rPr>
      <w:rFonts w:ascii="黑体" w:eastAsia="黑体"/>
    </w:rPr>
  </w:style>
  <w:style w:type="character" w:customStyle="1" w:styleId="196">
    <w:name w:val="标准文件_来源"/>
    <w:basedOn w:val="32"/>
    <w:qFormat/>
    <w:uiPriority w:val="1"/>
    <w:rPr>
      <w:rFonts w:eastAsia="宋体"/>
      <w:sz w:val="21"/>
    </w:rPr>
  </w:style>
  <w:style w:type="paragraph" w:customStyle="1" w:styleId="197">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8">
    <w:name w:val="其他发布日期"/>
    <w:basedOn w:val="125"/>
    <w:qFormat/>
    <w:uiPriority w:val="0"/>
    <w:pPr>
      <w:framePr w:w="3997" w:h="471" w:hRule="exact" w:hSpace="0" w:vSpace="181" w:wrap="around" w:vAnchor="page" w:hAnchor="page" w:x="1419" w:y="14097"/>
    </w:pPr>
  </w:style>
  <w:style w:type="paragraph" w:customStyle="1" w:styleId="199">
    <w:name w:val="其他实施日期"/>
    <w:basedOn w:val="159"/>
    <w:qFormat/>
    <w:uiPriority w:val="0"/>
    <w:pPr>
      <w:framePr w:w="3997" w:h="471" w:hRule="exact" w:vSpace="181" w:wrap="around" w:vAnchor="page" w:hAnchor="page" w:x="7089" w:y="14097"/>
    </w:pPr>
  </w:style>
  <w:style w:type="paragraph" w:customStyle="1" w:styleId="200">
    <w:name w:val="标准文件_文件编号"/>
    <w:basedOn w:val="61"/>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1">
    <w:name w:val="标准文件_替换文件编号"/>
    <w:basedOn w:val="200"/>
    <w:qFormat/>
    <w:uiPriority w:val="0"/>
    <w:pPr>
      <w:spacing w:before="57"/>
    </w:pPr>
    <w:rPr>
      <w:sz w:val="21"/>
    </w:rPr>
  </w:style>
  <w:style w:type="paragraph" w:customStyle="1" w:styleId="202">
    <w:name w:val="标准文件_文件名称"/>
    <w:basedOn w:val="61"/>
    <w:next w:val="61"/>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3">
    <w:name w:val="标准文件_附录图标号"/>
    <w:basedOn w:val="61"/>
    <w:next w:val="61"/>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4">
    <w:name w:val="标准文件_附录表标号"/>
    <w:basedOn w:val="61"/>
    <w:next w:val="61"/>
    <w:qFormat/>
    <w:uiPriority w:val="0"/>
    <w:pPr>
      <w:numPr>
        <w:ilvl w:val="0"/>
        <w:numId w:val="5"/>
      </w:numPr>
      <w:spacing w:line="14" w:lineRule="exact"/>
      <w:ind w:firstLine="0" w:firstLineChars="0"/>
      <w:jc w:val="center"/>
    </w:pPr>
    <w:rPr>
      <w:rFonts w:eastAsia="黑体"/>
      <w:vanish/>
      <w:sz w:val="2"/>
    </w:rPr>
  </w:style>
  <w:style w:type="paragraph" w:customStyle="1" w:styleId="205">
    <w:name w:val="标准文件_引言一级条标题"/>
    <w:basedOn w:val="61"/>
    <w:next w:val="61"/>
    <w:qFormat/>
    <w:uiPriority w:val="0"/>
    <w:pPr>
      <w:numPr>
        <w:ilvl w:val="1"/>
        <w:numId w:val="8"/>
      </w:numPr>
      <w:spacing w:before="50" w:beforeLines="50" w:after="50" w:afterLines="50"/>
      <w:ind w:firstLineChars="0"/>
    </w:pPr>
    <w:rPr>
      <w:rFonts w:ascii="黑体" w:eastAsia="黑体"/>
    </w:rPr>
  </w:style>
  <w:style w:type="paragraph" w:customStyle="1" w:styleId="206">
    <w:name w:val="标准文件_引言二级条标题"/>
    <w:basedOn w:val="61"/>
    <w:next w:val="61"/>
    <w:qFormat/>
    <w:uiPriority w:val="0"/>
    <w:pPr>
      <w:numPr>
        <w:ilvl w:val="2"/>
        <w:numId w:val="8"/>
      </w:numPr>
      <w:spacing w:before="50" w:beforeLines="50" w:after="50" w:afterLines="50"/>
      <w:ind w:firstLineChars="0"/>
    </w:pPr>
    <w:rPr>
      <w:rFonts w:ascii="黑体" w:eastAsia="黑体"/>
    </w:rPr>
  </w:style>
  <w:style w:type="paragraph" w:customStyle="1" w:styleId="207">
    <w:name w:val="标准文件_引言三级条标题"/>
    <w:basedOn w:val="61"/>
    <w:next w:val="61"/>
    <w:qFormat/>
    <w:uiPriority w:val="0"/>
    <w:pPr>
      <w:numPr>
        <w:ilvl w:val="3"/>
        <w:numId w:val="8"/>
      </w:numPr>
      <w:spacing w:before="50" w:beforeLines="50" w:after="50" w:afterLines="50"/>
      <w:ind w:firstLineChars="0"/>
    </w:pPr>
    <w:rPr>
      <w:rFonts w:ascii="黑体" w:eastAsia="黑体"/>
    </w:rPr>
  </w:style>
  <w:style w:type="paragraph" w:customStyle="1" w:styleId="208">
    <w:name w:val="标准文件_引言四级条标题"/>
    <w:basedOn w:val="61"/>
    <w:next w:val="61"/>
    <w:qFormat/>
    <w:uiPriority w:val="0"/>
    <w:pPr>
      <w:numPr>
        <w:ilvl w:val="4"/>
        <w:numId w:val="8"/>
      </w:numPr>
      <w:spacing w:before="50" w:beforeLines="50" w:after="50" w:afterLines="50"/>
      <w:ind w:firstLineChars="0"/>
    </w:pPr>
    <w:rPr>
      <w:rFonts w:ascii="黑体" w:eastAsia="黑体"/>
    </w:rPr>
  </w:style>
  <w:style w:type="paragraph" w:customStyle="1" w:styleId="209">
    <w:name w:val="标准文件_引言五级条标题"/>
    <w:basedOn w:val="61"/>
    <w:next w:val="61"/>
    <w:qFormat/>
    <w:uiPriority w:val="0"/>
    <w:pPr>
      <w:numPr>
        <w:ilvl w:val="5"/>
        <w:numId w:val="8"/>
      </w:numPr>
      <w:spacing w:before="50" w:beforeLines="50" w:after="50" w:afterLines="50"/>
      <w:ind w:firstLineChars="0"/>
    </w:pPr>
    <w:rPr>
      <w:rFonts w:ascii="黑体" w:eastAsia="黑体"/>
    </w:rPr>
  </w:style>
  <w:style w:type="paragraph" w:customStyle="1" w:styleId="210">
    <w:name w:val="标准文件_注后"/>
    <w:basedOn w:val="61"/>
    <w:qFormat/>
    <w:uiPriority w:val="0"/>
    <w:pPr>
      <w:ind w:left="811" w:firstLine="0" w:firstLineChars="0"/>
    </w:pPr>
    <w:rPr>
      <w:sz w:val="18"/>
    </w:rPr>
  </w:style>
  <w:style w:type="paragraph" w:customStyle="1" w:styleId="211">
    <w:name w:val="标准文件_注X后"/>
    <w:basedOn w:val="61"/>
    <w:qFormat/>
    <w:uiPriority w:val="0"/>
    <w:pPr>
      <w:ind w:left="811" w:firstLine="0" w:firstLineChars="0"/>
    </w:pPr>
    <w:rPr>
      <w:sz w:val="18"/>
    </w:rPr>
  </w:style>
  <w:style w:type="paragraph" w:customStyle="1" w:styleId="212">
    <w:name w:val="标准文件_示例后"/>
    <w:basedOn w:val="61"/>
    <w:qFormat/>
    <w:uiPriority w:val="0"/>
    <w:pPr>
      <w:ind w:left="964" w:firstLine="0" w:firstLineChars="0"/>
    </w:pPr>
    <w:rPr>
      <w:sz w:val="18"/>
    </w:rPr>
  </w:style>
  <w:style w:type="paragraph" w:customStyle="1" w:styleId="213">
    <w:name w:val="标准文件_示例X后"/>
    <w:basedOn w:val="61"/>
    <w:link w:val="214"/>
    <w:qFormat/>
    <w:uiPriority w:val="0"/>
    <w:pPr>
      <w:ind w:left="1049" w:firstLine="0" w:firstLineChars="0"/>
    </w:pPr>
    <w:rPr>
      <w:sz w:val="18"/>
    </w:rPr>
  </w:style>
  <w:style w:type="character" w:customStyle="1" w:styleId="214">
    <w:name w:val="标准文件_示例X后 字符"/>
    <w:basedOn w:val="189"/>
    <w:link w:val="213"/>
    <w:qFormat/>
    <w:uiPriority w:val="0"/>
    <w:rPr>
      <w:rFonts w:ascii="宋体" w:hAnsi="Times New Roman"/>
      <w:sz w:val="18"/>
    </w:rPr>
  </w:style>
  <w:style w:type="paragraph" w:customStyle="1" w:styleId="215">
    <w:name w:val="标准文件_索引项"/>
    <w:basedOn w:val="61"/>
    <w:next w:val="61"/>
    <w:qFormat/>
    <w:uiPriority w:val="0"/>
    <w:pPr>
      <w:tabs>
        <w:tab w:val="right" w:leader="dot" w:pos="9356"/>
      </w:tabs>
      <w:ind w:left="210" w:hanging="210" w:firstLineChars="0"/>
      <w:jc w:val="left"/>
    </w:pPr>
  </w:style>
  <w:style w:type="paragraph" w:customStyle="1" w:styleId="216">
    <w:name w:val="标准文件_附录一级无标题"/>
    <w:basedOn w:val="83"/>
    <w:qFormat/>
    <w:uiPriority w:val="0"/>
    <w:pPr>
      <w:spacing w:before="0" w:beforeLines="0" w:after="0" w:afterLines="0" w:line="276" w:lineRule="auto"/>
      <w:outlineLvl w:val="9"/>
    </w:pPr>
    <w:rPr>
      <w:rFonts w:ascii="宋体" w:eastAsia="宋体"/>
    </w:rPr>
  </w:style>
  <w:style w:type="paragraph" w:customStyle="1" w:styleId="217">
    <w:name w:val="标准文件_附录二级无标题"/>
    <w:basedOn w:val="84"/>
    <w:qFormat/>
    <w:uiPriority w:val="0"/>
    <w:pPr>
      <w:spacing w:before="0" w:beforeLines="0" w:after="0" w:afterLines="0" w:line="276" w:lineRule="auto"/>
      <w:outlineLvl w:val="9"/>
    </w:pPr>
    <w:rPr>
      <w:rFonts w:ascii="宋体" w:eastAsia="宋体"/>
    </w:rPr>
  </w:style>
  <w:style w:type="paragraph" w:customStyle="1" w:styleId="218">
    <w:name w:val="标准文件_附录三级无标题"/>
    <w:basedOn w:val="86"/>
    <w:qFormat/>
    <w:uiPriority w:val="0"/>
    <w:pPr>
      <w:spacing w:before="0" w:beforeLines="0" w:after="0" w:afterLines="0" w:line="276" w:lineRule="auto"/>
      <w:outlineLvl w:val="9"/>
    </w:pPr>
    <w:rPr>
      <w:rFonts w:ascii="宋体" w:eastAsia="宋体"/>
    </w:rPr>
  </w:style>
  <w:style w:type="paragraph" w:customStyle="1" w:styleId="219">
    <w:name w:val="标准文件_附录四级无标题"/>
    <w:basedOn w:val="87"/>
    <w:qFormat/>
    <w:uiPriority w:val="0"/>
    <w:pPr>
      <w:spacing w:before="0" w:beforeLines="0" w:after="0" w:afterLines="0" w:line="276" w:lineRule="auto"/>
      <w:outlineLvl w:val="9"/>
    </w:pPr>
    <w:rPr>
      <w:rFonts w:ascii="宋体" w:eastAsia="宋体"/>
    </w:rPr>
  </w:style>
  <w:style w:type="paragraph" w:customStyle="1" w:styleId="220">
    <w:name w:val="标准文件_附录五级无标题"/>
    <w:basedOn w:val="89"/>
    <w:qFormat/>
    <w:uiPriority w:val="0"/>
    <w:pPr>
      <w:spacing w:before="0" w:beforeLines="0" w:after="0" w:afterLines="0" w:line="276" w:lineRule="auto"/>
      <w:outlineLvl w:val="9"/>
    </w:pPr>
    <w:rPr>
      <w:rFonts w:ascii="宋体" w:eastAsia="宋体"/>
    </w:rPr>
  </w:style>
  <w:style w:type="paragraph" w:customStyle="1" w:styleId="221">
    <w:name w:val="标准文件_引言一级无标题"/>
    <w:basedOn w:val="205"/>
    <w:next w:val="61"/>
    <w:qFormat/>
    <w:uiPriority w:val="0"/>
    <w:pPr>
      <w:spacing w:before="0" w:beforeLines="0" w:after="0" w:afterLines="0" w:line="276" w:lineRule="auto"/>
    </w:pPr>
    <w:rPr>
      <w:rFonts w:ascii="宋体" w:eastAsia="宋体"/>
    </w:rPr>
  </w:style>
  <w:style w:type="paragraph" w:customStyle="1" w:styleId="222">
    <w:name w:val="标准文件_引言二级无标题"/>
    <w:basedOn w:val="206"/>
    <w:next w:val="61"/>
    <w:qFormat/>
    <w:uiPriority w:val="0"/>
    <w:pPr>
      <w:spacing w:before="0" w:beforeLines="0" w:after="0" w:afterLines="0" w:line="276" w:lineRule="auto"/>
    </w:pPr>
    <w:rPr>
      <w:rFonts w:ascii="宋体" w:eastAsia="宋体"/>
    </w:rPr>
  </w:style>
  <w:style w:type="paragraph" w:customStyle="1" w:styleId="223">
    <w:name w:val="标准文件_引言三级无标题"/>
    <w:basedOn w:val="207"/>
    <w:qFormat/>
    <w:uiPriority w:val="0"/>
    <w:pPr>
      <w:spacing w:before="0" w:beforeLines="0" w:after="0" w:afterLines="0" w:line="276" w:lineRule="auto"/>
    </w:pPr>
    <w:rPr>
      <w:rFonts w:ascii="宋体" w:eastAsia="宋体"/>
    </w:rPr>
  </w:style>
  <w:style w:type="paragraph" w:customStyle="1" w:styleId="224">
    <w:name w:val="标准文件_引言四级无标题"/>
    <w:basedOn w:val="208"/>
    <w:next w:val="61"/>
    <w:qFormat/>
    <w:uiPriority w:val="0"/>
    <w:pPr>
      <w:spacing w:before="0" w:beforeLines="0" w:after="0" w:afterLines="0" w:line="276" w:lineRule="auto"/>
    </w:pPr>
    <w:rPr>
      <w:rFonts w:ascii="宋体" w:eastAsia="宋体"/>
    </w:rPr>
  </w:style>
  <w:style w:type="paragraph" w:customStyle="1" w:styleId="225">
    <w:name w:val="标准文件_引言五级无标题"/>
    <w:basedOn w:val="209"/>
    <w:next w:val="61"/>
    <w:qFormat/>
    <w:uiPriority w:val="0"/>
    <w:pPr>
      <w:spacing w:before="0" w:beforeLines="0" w:after="0" w:afterLines="0" w:line="276" w:lineRule="auto"/>
    </w:pPr>
    <w:rPr>
      <w:rFonts w:ascii="宋体" w:eastAsia="宋体"/>
    </w:rPr>
  </w:style>
  <w:style w:type="paragraph" w:customStyle="1" w:styleId="226">
    <w:name w:val="标准文件_索引标题"/>
    <w:basedOn w:val="68"/>
    <w:next w:val="61"/>
    <w:qFormat/>
    <w:uiPriority w:val="0"/>
    <w:rPr>
      <w:rFonts w:hAnsi="黑体"/>
    </w:rPr>
  </w:style>
  <w:style w:type="paragraph" w:customStyle="1" w:styleId="227">
    <w:name w:val="标准文件_脚注内容"/>
    <w:basedOn w:val="61"/>
    <w:qFormat/>
    <w:uiPriority w:val="0"/>
    <w:pPr>
      <w:ind w:left="400" w:leftChars="200" w:hanging="200" w:hangingChars="200"/>
    </w:pPr>
    <w:rPr>
      <w:sz w:val="15"/>
    </w:rPr>
  </w:style>
  <w:style w:type="paragraph" w:customStyle="1" w:styleId="228">
    <w:name w:val="标准文件_术语条一"/>
    <w:basedOn w:val="167"/>
    <w:next w:val="61"/>
    <w:qFormat/>
    <w:uiPriority w:val="0"/>
  </w:style>
  <w:style w:type="paragraph" w:customStyle="1" w:styleId="229">
    <w:name w:val="标准文件_术语条二"/>
    <w:basedOn w:val="170"/>
    <w:next w:val="61"/>
    <w:qFormat/>
    <w:uiPriority w:val="0"/>
  </w:style>
  <w:style w:type="paragraph" w:customStyle="1" w:styleId="230">
    <w:name w:val="标准文件_术语条三"/>
    <w:basedOn w:val="169"/>
    <w:next w:val="61"/>
    <w:qFormat/>
    <w:uiPriority w:val="0"/>
  </w:style>
  <w:style w:type="paragraph" w:customStyle="1" w:styleId="231">
    <w:name w:val="标准文件_术语条四"/>
    <w:basedOn w:val="172"/>
    <w:next w:val="61"/>
    <w:qFormat/>
    <w:uiPriority w:val="0"/>
  </w:style>
  <w:style w:type="paragraph" w:customStyle="1" w:styleId="232">
    <w:name w:val="标准文件_术语条五"/>
    <w:basedOn w:val="168"/>
    <w:next w:val="61"/>
    <w:qFormat/>
    <w:uiPriority w:val="0"/>
  </w:style>
  <w:style w:type="paragraph" w:customStyle="1" w:styleId="2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4">
    <w:name w:val="发布"/>
    <w:basedOn w:val="32"/>
    <w:qFormat/>
    <w:uiPriority w:val="0"/>
    <w:rPr>
      <w:rFonts w:ascii="黑体" w:eastAsia="黑体"/>
      <w:spacing w:val="85"/>
      <w:w w:val="100"/>
      <w:position w:val="3"/>
      <w:sz w:val="28"/>
      <w:szCs w:val="28"/>
    </w:rPr>
  </w:style>
  <w:style w:type="paragraph" w:customStyle="1" w:styleId="235">
    <w:name w:val="正文首行缩进 21"/>
    <w:basedOn w:val="15"/>
    <w:unhideWhenUsed/>
    <w:qFormat/>
    <w:uiPriority w:val="99"/>
    <w:pPr>
      <w:adjustRightInd/>
      <w:spacing w:line="240" w:lineRule="auto"/>
      <w:ind w:firstLine="420" w:firstLineChars="200"/>
    </w:pPr>
    <w:rPr>
      <w:szCs w:val="24"/>
    </w:rPr>
  </w:style>
  <w:style w:type="character" w:customStyle="1" w:styleId="236">
    <w:name w:val="正文文本缩进 Char"/>
    <w:basedOn w:val="32"/>
    <w:link w:val="15"/>
    <w:semiHidden/>
    <w:qFormat/>
    <w:uiPriority w:val="99"/>
    <w:rPr>
      <w:kern w:val="2"/>
      <w:sz w:val="21"/>
      <w:szCs w:val="21"/>
    </w:rPr>
  </w:style>
  <w:style w:type="paragraph" w:customStyle="1" w:styleId="237">
    <w:name w:val="修订1"/>
    <w:hidden/>
    <w:semiHidden/>
    <w:qFormat/>
    <w:uiPriority w:val="99"/>
    <w:rPr>
      <w:rFonts w:ascii="Calibri" w:hAnsi="Calibri" w:eastAsia="宋体" w:cs="Times New Roman"/>
      <w:kern w:val="2"/>
      <w:sz w:val="21"/>
      <w:szCs w:val="21"/>
      <w:lang w:val="en-US" w:eastAsia="zh-CN" w:bidi="ar-SA"/>
    </w:rPr>
  </w:style>
  <w:style w:type="character" w:customStyle="1" w:styleId="238">
    <w:name w:val="批注文字 Char"/>
    <w:basedOn w:val="32"/>
    <w:link w:val="13"/>
    <w:semiHidden/>
    <w:qFormat/>
    <w:uiPriority w:val="99"/>
    <w:rPr>
      <w:kern w:val="2"/>
      <w:sz w:val="21"/>
      <w:szCs w:val="21"/>
    </w:rPr>
  </w:style>
  <w:style w:type="character" w:customStyle="1" w:styleId="239">
    <w:name w:val="批注主题 Char"/>
    <w:basedOn w:val="238"/>
    <w:link w:val="29"/>
    <w:semiHidden/>
    <w:qFormat/>
    <w:uiPriority w:val="99"/>
    <w:rPr>
      <w:b/>
      <w:bCs/>
      <w:kern w:val="2"/>
      <w:sz w:val="21"/>
      <w:szCs w:val="21"/>
    </w:rPr>
  </w:style>
  <w:style w:type="paragraph" w:customStyle="1" w:styleId="240">
    <w:name w:val="修订2"/>
    <w:hidden/>
    <w:unhideWhenUsed/>
    <w:qFormat/>
    <w:uiPriority w:val="99"/>
    <w:rPr>
      <w:rFonts w:ascii="Calibri" w:hAnsi="Calibri" w:eastAsia="宋体" w:cs="Times New Roman"/>
      <w:kern w:val="2"/>
      <w:sz w:val="21"/>
      <w:szCs w:val="21"/>
      <w:lang w:val="en-US" w:eastAsia="zh-CN" w:bidi="ar-SA"/>
    </w:rPr>
  </w:style>
  <w:style w:type="paragraph" w:customStyle="1" w:styleId="241">
    <w:name w:val="Revision"/>
    <w:hidden/>
    <w:unhideWhenUsed/>
    <w:qFormat/>
    <w:uiPriority w:val="99"/>
    <w:rPr>
      <w:rFonts w:ascii="Calibri" w:hAnsi="Calibri" w:eastAsia="宋体" w:cs="Times New Roman"/>
      <w:kern w:val="2"/>
      <w:sz w:val="21"/>
      <w:szCs w:val="21"/>
      <w:lang w:val="en-US" w:eastAsia="zh-CN" w:bidi="ar-SA"/>
    </w:rPr>
  </w:style>
  <w:style w:type="character" w:customStyle="1" w:styleId="242">
    <w:name w:val="font21"/>
    <w:basedOn w:val="32"/>
    <w:qFormat/>
    <w:uiPriority w:val="0"/>
    <w:rPr>
      <w:rFonts w:hint="default" w:ascii="Times New Roman" w:hAnsi="Times New Roman" w:cs="Times New Roman"/>
      <w:color w:val="000000"/>
      <w:sz w:val="21"/>
      <w:szCs w:val="21"/>
      <w:u w:val="none"/>
    </w:rPr>
  </w:style>
  <w:style w:type="character" w:customStyle="1" w:styleId="243">
    <w:name w:val="font11"/>
    <w:basedOn w:val="32"/>
    <w:qFormat/>
    <w:uiPriority w:val="0"/>
    <w:rPr>
      <w:rFonts w:hint="eastAsia" w:ascii="宋体" w:hAnsi="宋体" w:eastAsia="宋体" w:cs="宋体"/>
      <w:color w:val="000000"/>
      <w:sz w:val="21"/>
      <w:szCs w:val="21"/>
      <w:u w:val="none"/>
    </w:rPr>
  </w:style>
  <w:style w:type="character" w:customStyle="1" w:styleId="244">
    <w:name w:val="font31"/>
    <w:basedOn w:val="32"/>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glossaryDocument" Target="glossary/document.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8.xml"/><Relationship Id="rId23" Type="http://schemas.openxmlformats.org/officeDocument/2006/relationships/footer" Target="footer7.xml"/><Relationship Id="rId22" Type="http://schemas.openxmlformats.org/officeDocument/2006/relationships/header" Target="header12.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6.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footer" Target="footer3.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242;&#20307;&#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2B77DB749804158B30A2318A9CC564E"/>
        <w:style w:val=""/>
        <w:category>
          <w:name w:val="常规"/>
          <w:gallery w:val="placeholder"/>
        </w:category>
        <w:types>
          <w:type w:val="bbPlcHdr"/>
        </w:types>
        <w:behaviors>
          <w:behavior w:val="content"/>
        </w:behaviors>
        <w:description w:val=""/>
        <w:guid w:val="{AFC8584E-F369-4486-9A9B-34CAAF0E4B66}"/>
      </w:docPartPr>
      <w:docPartBody>
        <w:p w14:paraId="4FE3A353">
          <w:pPr>
            <w:pStyle w:val="5"/>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8A4"/>
    <w:rsid w:val="001C61B9"/>
    <w:rsid w:val="001E719F"/>
    <w:rsid w:val="002218A4"/>
    <w:rsid w:val="00284073"/>
    <w:rsid w:val="007B2438"/>
    <w:rsid w:val="008E4122"/>
    <w:rsid w:val="009147F4"/>
    <w:rsid w:val="00A21E63"/>
    <w:rsid w:val="00A91FDE"/>
    <w:rsid w:val="00B06560"/>
    <w:rsid w:val="00D34AEC"/>
    <w:rsid w:val="00E91639"/>
    <w:rsid w:val="00ED2264"/>
    <w:rsid w:val="00F50495"/>
    <w:rsid w:val="00FD0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72B77DB749804158B30A2318A9CC564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DF262AA9FE264A0F84384FA2A5C24226"/>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4FB0B0E0B80A4A46BB9C9C544292AD37"/>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BD2A66-7A4F-4A7C-9B8B-27DED24BAD4D}">
  <ds:schemaRefs/>
</ds:datastoreItem>
</file>

<file path=docProps/app.xml><?xml version="1.0" encoding="utf-8"?>
<Properties xmlns="http://schemas.openxmlformats.org/officeDocument/2006/extended-properties" xmlns:vt="http://schemas.openxmlformats.org/officeDocument/2006/docPropsVTypes">
  <Template>团体标准</Template>
  <Company>PCMI</Company>
  <Pages>11</Pages>
  <Words>408</Words>
  <Characters>586</Characters>
  <Lines>94</Lines>
  <Paragraphs>26</Paragraphs>
  <TotalTime>6</TotalTime>
  <ScaleCrop>false</ScaleCrop>
  <LinksUpToDate>false</LinksUpToDate>
  <CharactersWithSpaces>683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2025-08-14T02:33:00Z</dcterms:created>
  <dc:creator>EDY</dc:creator>
  <dc:description>&lt;config cover="true" show_menu="true" version="1.0.0" doctype="SDKXY"&gt;_x000d_
&lt;/config&gt;</dc:description>
  <cp:lastModifiedBy>EDY</cp:lastModifiedBy>
  <cp:lastPrinted>2021-02-02T08:22:00Z</cp:lastPrinted>
  <dcterms:modified xsi:type="dcterms:W3CDTF">2025-09-12T02:12:52Z</dcterms:modified>
  <dc:title>团体标准</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y fmtid="{D5CDD505-2E9C-101B-9397-08002B2CF9AE}" pid="15" name="KSOTemplateDocerSaveRecord">
    <vt:lpwstr>eyJoZGlkIjoiZmYyYmRmZjQzMDM0OWIzYTA2N2Q4MzczNjM3MDhlN2UifQ==</vt:lpwstr>
  </property>
  <property fmtid="{D5CDD505-2E9C-101B-9397-08002B2CF9AE}" pid="16" name="KSOProductBuildVer">
    <vt:lpwstr>2052-12.1.0.22529</vt:lpwstr>
  </property>
  <property fmtid="{D5CDD505-2E9C-101B-9397-08002B2CF9AE}" pid="17" name="ICV">
    <vt:lpwstr>1FAC8AD5780B455E887CD2936F140788_13</vt:lpwstr>
  </property>
</Properties>
</file>