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1"/>
        <w:tblW w:w="936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509"/>
        <w:gridCol w:w="8855"/>
      </w:tblGrid>
      <w:tr w14:paraId="2E0FF2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509" w:type="dxa"/>
          </w:tcPr>
          <w:p w14:paraId="3C3E0362">
            <w:pPr>
              <w:pStyle w:val="20"/>
              <w:framePr w:wrap="notBeside" w:vAnchor="page" w:hAnchor="page" w:x="1372" w:y="568"/>
              <w:tabs>
                <w:tab w:val="clear" w:pos="4153"/>
                <w:tab w:val="clear" w:pos="8306"/>
              </w:tabs>
              <w:spacing w:line="240" w:lineRule="auto"/>
              <w:jc w:val="left"/>
              <w:rPr>
                <w:rFonts w:ascii="黑体" w:hAnsi="黑体" w:eastAsia="黑体"/>
                <w:sz w:val="21"/>
                <w:szCs w:val="21"/>
              </w:rPr>
            </w:pPr>
            <w:r>
              <w:rPr>
                <w:rFonts w:ascii="Times New Roman" w:hAnsi="Times New Roman" w:eastAsia="黑体"/>
                <w:sz w:val="21"/>
                <w:szCs w:val="21"/>
              </w:rPr>
              <w:t>ICS</w:t>
            </w:r>
            <w:r>
              <w:rPr>
                <w:rFonts w:ascii="黑体" w:hAnsi="黑体" w:eastAsia="黑体"/>
                <w:sz w:val="21"/>
                <w:szCs w:val="21"/>
              </w:rPr>
              <w:t xml:space="preserve">  </w:t>
            </w:r>
          </w:p>
        </w:tc>
        <w:tc>
          <w:tcPr>
            <w:tcW w:w="8855" w:type="dxa"/>
          </w:tcPr>
          <w:p w14:paraId="20A1F29E">
            <w:pPr>
              <w:pStyle w:val="20"/>
              <w:framePr w:wrap="notBeside" w:vAnchor="page" w:hAnchor="page" w:x="1372" w:y="568"/>
              <w:tabs>
                <w:tab w:val="clear" w:pos="4153"/>
                <w:tab w:val="clear" w:pos="8306"/>
              </w:tabs>
              <w:spacing w:line="240" w:lineRule="auto"/>
              <w:jc w:val="both"/>
              <w:rPr>
                <w:rFonts w:ascii="黑体" w:hAnsi="黑体" w:eastAsia="黑体"/>
                <w:sz w:val="21"/>
                <w:szCs w:val="21"/>
              </w:rPr>
            </w:pPr>
            <w:r>
              <w:rPr>
                <w:rFonts w:ascii="黑体" w:hAnsi="黑体" w:eastAsia="黑体"/>
                <w:sz w:val="21"/>
                <w:szCs w:val="21"/>
              </w:rPr>
              <w:fldChar w:fldCharType="begin">
                <w:ffData>
                  <w:name w:val="ICS"/>
                  <w:enabled/>
                  <w:calcOnExit w:val="0"/>
                  <w:textInput>
                    <w:default w:val="点击此处添加ICS号"/>
                  </w:textInput>
                </w:ffData>
              </w:fldChar>
            </w:r>
            <w:bookmarkStart w:id="0" w:name="ICS"/>
            <w:r>
              <w:rPr>
                <w:rFonts w:ascii="黑体" w:hAnsi="黑体" w:eastAsia="黑体"/>
                <w:sz w:val="21"/>
                <w:szCs w:val="21"/>
              </w:rPr>
              <w:instrText xml:space="preserve"> FORMTEXT </w:instrText>
            </w:r>
            <w:r>
              <w:rPr>
                <w:rFonts w:ascii="黑体" w:hAnsi="黑体" w:eastAsia="黑体"/>
                <w:sz w:val="21"/>
                <w:szCs w:val="21"/>
              </w:rPr>
              <w:fldChar w:fldCharType="separate"/>
            </w:r>
            <w:r>
              <w:rPr>
                <w:rFonts w:hint="eastAsia" w:ascii="黑体" w:hAnsi="黑体" w:eastAsia="黑体"/>
                <w:sz w:val="21"/>
                <w:szCs w:val="21"/>
              </w:rPr>
              <w:t>点击此处添加ICS号</w:t>
            </w:r>
            <w:r>
              <w:rPr>
                <w:rFonts w:ascii="黑体" w:hAnsi="黑体" w:eastAsia="黑体"/>
                <w:sz w:val="21"/>
                <w:szCs w:val="21"/>
              </w:rPr>
              <w:fldChar w:fldCharType="end"/>
            </w:r>
            <w:bookmarkEnd w:id="0"/>
          </w:p>
        </w:tc>
      </w:tr>
      <w:tr w14:paraId="72761C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09" w:type="dxa"/>
          </w:tcPr>
          <w:p w14:paraId="07AD293D">
            <w:pPr>
              <w:pStyle w:val="20"/>
              <w:framePr w:wrap="notBeside" w:vAnchor="page" w:hAnchor="page" w:x="1372" w:y="568"/>
              <w:tabs>
                <w:tab w:val="clear" w:pos="4153"/>
                <w:tab w:val="clear" w:pos="8306"/>
              </w:tabs>
              <w:spacing w:before="40" w:line="240" w:lineRule="auto"/>
              <w:jc w:val="left"/>
              <w:rPr>
                <w:rFonts w:ascii="黑体" w:hAnsi="黑体" w:eastAsia="黑体"/>
                <w:sz w:val="21"/>
                <w:szCs w:val="21"/>
              </w:rPr>
            </w:pPr>
            <w:r>
              <w:rPr>
                <w:rFonts w:ascii="Times New Roman" w:hAnsi="Times New Roman" w:eastAsia="黑体"/>
                <w:sz w:val="21"/>
                <w:szCs w:val="21"/>
              </w:rPr>
              <w:t xml:space="preserve">CCS </w:t>
            </w:r>
            <w:r>
              <w:rPr>
                <w:rFonts w:ascii="黑体" w:hAnsi="黑体" w:eastAsia="黑体"/>
                <w:sz w:val="21"/>
                <w:szCs w:val="21"/>
              </w:rPr>
              <w:t xml:space="preserve"> </w:t>
            </w:r>
          </w:p>
        </w:tc>
        <w:tc>
          <w:tcPr>
            <w:tcW w:w="8855" w:type="dxa"/>
          </w:tcPr>
          <w:tbl>
            <w:tblPr>
              <w:tblStyle w:val="31"/>
              <w:tblpPr w:vertAnchor="page" w:horzAnchor="margin" w:tblpX="1" w:tblpY="341"/>
              <w:tblOverlap w:val="never"/>
              <w:tblW w:w="0" w:type="auto"/>
              <w:tblInd w:w="0" w:type="dxa"/>
              <w:tblBorders>
                <w:top w:val="none" w:color="auto" w:sz="0" w:space="0"/>
                <w:left w:val="none" w:color="auto" w:sz="0" w:space="0"/>
                <w:bottom w:val="none" w:color="auto" w:sz="0" w:space="0"/>
                <w:right w:val="none" w:color="auto" w:sz="0" w:space="0"/>
                <w:insideH w:val="single" w:color="auto" w:sz="4" w:space="0"/>
                <w:insideV w:val="single" w:color="auto" w:sz="4" w:space="0"/>
              </w:tblBorders>
              <w:tblLayout w:type="fixed"/>
              <w:tblCellMar>
                <w:top w:w="0" w:type="dxa"/>
                <w:left w:w="0" w:type="dxa"/>
                <w:bottom w:w="0" w:type="dxa"/>
                <w:right w:w="113" w:type="dxa"/>
              </w:tblCellMar>
            </w:tblPr>
            <w:tblGrid>
              <w:gridCol w:w="9242"/>
            </w:tblGrid>
            <w:tr w14:paraId="395F6123">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0" w:type="dxa"/>
                  <w:bottom w:w="0" w:type="dxa"/>
                  <w:right w:w="113" w:type="dxa"/>
                </w:tblCellMar>
              </w:tblPrEx>
              <w:trPr>
                <w:trHeight w:val="1021" w:hRule="exact"/>
              </w:trPr>
              <w:tc>
                <w:tcPr>
                  <w:tcW w:w="9242" w:type="dxa"/>
                  <w:vAlign w:val="center"/>
                </w:tcPr>
                <w:p w14:paraId="6D3CF682">
                  <w:pPr>
                    <w:pStyle w:val="54"/>
                    <w:framePr w:wrap="notBeside" w:vAnchor="page" w:hAnchor="page" w:x="1372" w:y="568"/>
                    <w:ind w:left="420" w:right="624"/>
                    <w:rPr>
                      <w:rFonts w:ascii="宋体" w:hAnsi="宋体"/>
                      <w:sz w:val="28"/>
                      <w:szCs w:val="28"/>
                    </w:rPr>
                  </w:pPr>
                  <w:r>
                    <w:rPr>
                      <w:sz w:val="21"/>
                      <w:szCs w:val="21"/>
                    </w:rPr>
                    <w:t xml:space="preserve"> </w:t>
                  </w:r>
                </w:p>
              </w:tc>
            </w:tr>
          </w:tbl>
          <w:p w14:paraId="5ED5EFF9">
            <w:pPr>
              <w:pStyle w:val="20"/>
              <w:framePr w:wrap="notBeside" w:vAnchor="page" w:hAnchor="page" w:x="1372" w:y="568"/>
              <w:tabs>
                <w:tab w:val="clear" w:pos="4153"/>
                <w:tab w:val="clear" w:pos="8306"/>
              </w:tabs>
              <w:spacing w:before="40" w:line="240" w:lineRule="auto"/>
              <w:jc w:val="left"/>
              <w:rPr>
                <w:rFonts w:ascii="黑体" w:hAnsi="黑体" w:eastAsia="黑体"/>
                <w:sz w:val="21"/>
                <w:szCs w:val="21"/>
              </w:rPr>
            </w:pPr>
            <w:r>
              <w:rPr>
                <w:rFonts w:ascii="黑体" w:hAnsi="黑体" w:eastAsia="黑体"/>
                <w:sz w:val="21"/>
                <w:szCs w:val="21"/>
              </w:rPr>
              <w:fldChar w:fldCharType="begin">
                <w:ffData>
                  <w:name w:val="CSDN"/>
                  <w:enabled/>
                  <w:calcOnExit w:val="0"/>
                  <w:textInput>
                    <w:default w:val="点击此处添加CCS号"/>
                  </w:textInput>
                </w:ffData>
              </w:fldChar>
            </w:r>
            <w:bookmarkStart w:id="1" w:name="CSDN"/>
            <w:r>
              <w:rPr>
                <w:rFonts w:ascii="黑体" w:hAnsi="黑体" w:eastAsia="黑体"/>
                <w:sz w:val="21"/>
                <w:szCs w:val="21"/>
              </w:rPr>
              <w:instrText xml:space="preserve"> FORMTEXT </w:instrText>
            </w:r>
            <w:r>
              <w:rPr>
                <w:rFonts w:ascii="黑体" w:hAnsi="黑体" w:eastAsia="黑体"/>
                <w:sz w:val="21"/>
                <w:szCs w:val="21"/>
              </w:rPr>
              <w:fldChar w:fldCharType="separate"/>
            </w:r>
            <w:r>
              <w:rPr>
                <w:rFonts w:ascii="黑体" w:hAnsi="黑体" w:eastAsia="黑体"/>
                <w:sz w:val="21"/>
                <w:szCs w:val="21"/>
              </w:rPr>
              <w:t>点击此处添加CCS号</w:t>
            </w:r>
            <w:r>
              <w:rPr>
                <w:rFonts w:ascii="黑体" w:hAnsi="黑体" w:eastAsia="黑体"/>
                <w:sz w:val="21"/>
                <w:szCs w:val="21"/>
              </w:rPr>
              <w:fldChar w:fldCharType="end"/>
            </w:r>
            <w:bookmarkEnd w:id="1"/>
          </w:p>
        </w:tc>
      </w:tr>
    </w:tbl>
    <w:p w14:paraId="21E0B206">
      <w:pPr>
        <w:pStyle w:val="55"/>
        <w:framePr w:w="9639" w:h="1401" w:hRule="exact" w:hSpace="181" w:vSpace="181" w:wrap="around" w:hAnchor="page" w:x="1305" w:y="1481"/>
        <w:rPr>
          <w:rFonts w:ascii="黑体" w:hAnsi="黑体" w:eastAsia="黑体"/>
          <w:b w:val="0"/>
          <w:bCs w:val="0"/>
          <w:w w:val="100"/>
          <w:sz w:val="96"/>
          <w:szCs w:val="96"/>
        </w:rPr>
      </w:pPr>
      <w:bookmarkStart w:id="2" w:name="_Hlk26473981"/>
      <w:r>
        <w:rPr>
          <w:rFonts w:hint="eastAsia" w:ascii="黑体" w:eastAsia="黑体"/>
          <w:b w:val="0"/>
          <w:w w:val="100"/>
          <w:sz w:val="96"/>
          <w:szCs w:val="28"/>
        </w:rPr>
        <w:t>团体</w:t>
      </w:r>
      <w:r>
        <w:rPr>
          <w:rFonts w:hint="eastAsia" w:ascii="黑体" w:hAnsi="黑体" w:eastAsia="黑体"/>
          <w:b w:val="0"/>
          <w:bCs w:val="0"/>
          <w:w w:val="100"/>
          <w:sz w:val="96"/>
          <w:szCs w:val="96"/>
        </w:rPr>
        <w:t>标准</w:t>
      </w:r>
    </w:p>
    <w:bookmarkEnd w:id="2"/>
    <w:p w14:paraId="6E49257A">
      <w:pPr>
        <w:pStyle w:val="200"/>
      </w:pPr>
      <w:r>
        <w:t>T/</w:t>
      </w:r>
      <w:r>
        <w:fldChar w:fldCharType="begin">
          <w:ffData>
            <w:name w:val="文字1"/>
            <w:enabled/>
            <w:calcOnExit w:val="0"/>
            <w:textInput>
              <w:default w:val="COSOCC"/>
            </w:textInput>
          </w:ffData>
        </w:fldChar>
      </w:r>
      <w:bookmarkStart w:id="3" w:name="文字1"/>
      <w:r>
        <w:instrText xml:space="preserve"> FORMTEXT </w:instrText>
      </w:r>
      <w:r>
        <w:fldChar w:fldCharType="separate"/>
      </w:r>
      <w:r>
        <w:t>COSOCC</w:t>
      </w:r>
      <w:r>
        <w:fldChar w:fldCharType="end"/>
      </w:r>
      <w:bookmarkEnd w:id="3"/>
      <w:r>
        <w:t xml:space="preserve"> </w:t>
      </w:r>
      <w:r>
        <w:fldChar w:fldCharType="begin">
          <w:ffData>
            <w:name w:val="NSTD_CODE_F"/>
            <w:enabled/>
            <w:calcOnExit w:val="0"/>
            <w:textInput>
              <w:default w:val="XXXX"/>
            </w:textInput>
          </w:ffData>
        </w:fldChar>
      </w:r>
      <w:bookmarkStart w:id="4" w:name="NSTD_CODE_F"/>
      <w:r>
        <w:instrText xml:space="preserve"> FORMTEXT </w:instrText>
      </w:r>
      <w:r>
        <w:fldChar w:fldCharType="separate"/>
      </w:r>
      <w:r>
        <w:t>XXXX</w:t>
      </w:r>
      <w:r>
        <w:fldChar w:fldCharType="end"/>
      </w:r>
      <w:bookmarkEnd w:id="4"/>
      <w:r>
        <w:rPr>
          <w:rFonts w:hAnsi="黑体"/>
        </w:rPr>
        <w:t>—</w:t>
      </w:r>
      <w:r>
        <w:fldChar w:fldCharType="begin">
          <w:ffData>
            <w:name w:val="NSTD_CODE_B"/>
            <w:enabled/>
            <w:calcOnExit w:val="0"/>
            <w:textInput>
              <w:default w:val="XXXX"/>
            </w:textInput>
          </w:ffData>
        </w:fldChar>
      </w:r>
      <w:bookmarkStart w:id="5" w:name="NSTD_CODE_B"/>
      <w:r>
        <w:instrText xml:space="preserve"> FORMTEXT </w:instrText>
      </w:r>
      <w:r>
        <w:fldChar w:fldCharType="separate"/>
      </w:r>
      <w:r>
        <w:t>XXXX</w:t>
      </w:r>
      <w:r>
        <w:fldChar w:fldCharType="end"/>
      </w:r>
      <w:bookmarkEnd w:id="5"/>
    </w:p>
    <w:p w14:paraId="25E48657">
      <w:pPr>
        <w:pStyle w:val="201"/>
        <w:rPr>
          <w:rFonts w:hAnsi="黑体"/>
        </w:rPr>
      </w:pPr>
      <w:r>
        <w:rPr>
          <w:rFonts w:hAnsi="黑体"/>
        </w:rPr>
        <w:fldChar w:fldCharType="begin">
          <w:ffData>
            <w:name w:val="OSTD_CODE"/>
            <w:enabled/>
            <w:calcOnExit w:val="0"/>
            <w:textInput/>
          </w:ffData>
        </w:fldChar>
      </w:r>
      <w:bookmarkStart w:id="6" w:name="OSTD_CODE"/>
      <w:r>
        <w:rPr>
          <w:rFonts w:hAnsi="黑体"/>
        </w:rPr>
        <w:instrText xml:space="preserve"> FORMTEXT </w:instrText>
      </w:r>
      <w:r>
        <w:rPr>
          <w:rFonts w:hAnsi="黑体"/>
        </w:rPr>
        <w:fldChar w:fldCharType="separate"/>
      </w:r>
      <w:r>
        <w:rPr>
          <w:rFonts w:hAnsi="黑体"/>
        </w:rPr>
        <w:t>     </w:t>
      </w:r>
      <w:r>
        <w:rPr>
          <w:rFonts w:hAnsi="黑体"/>
        </w:rPr>
        <w:fldChar w:fldCharType="end"/>
      </w:r>
      <w:bookmarkEnd w:id="6"/>
    </w:p>
    <w:p w14:paraId="3B08865C">
      <w:pPr>
        <w:spacing w:line="240" w:lineRule="auto"/>
        <w:rPr>
          <w:rFonts w:ascii="黑体" w:hAnsi="黑体" w:eastAsia="黑体"/>
          <w:kern w:val="0"/>
          <w:sz w:val="10"/>
          <w:szCs w:val="10"/>
        </w:rPr>
      </w:pPr>
      <w:r>
        <w:rPr>
          <w:rFonts w:ascii="黑体" w:hAnsi="黑体" w:eastAsia="黑体"/>
          <w:kern w:val="0"/>
          <w:sz w:val="10"/>
          <w:szCs w:val="10"/>
        </w:rPr>
        <mc:AlternateContent>
          <mc:Choice Requires="wps">
            <w:drawing>
              <wp:anchor distT="0" distB="0" distL="114300" distR="114300" simplePos="0" relativeHeight="251660288" behindDoc="0" locked="0" layoutInCell="1" allowOverlap="0">
                <wp:simplePos x="0" y="0"/>
                <wp:positionH relativeFrom="page">
                  <wp:posOffset>900430</wp:posOffset>
                </wp:positionH>
                <wp:positionV relativeFrom="page">
                  <wp:posOffset>2700655</wp:posOffset>
                </wp:positionV>
                <wp:extent cx="6120130" cy="0"/>
                <wp:effectExtent l="0" t="0" r="0" b="0"/>
                <wp:wrapNone/>
                <wp:docPr id="73" name="直接连接符 73"/>
                <wp:cNvGraphicFramePr/>
                <a:graphic xmlns:a="http://schemas.openxmlformats.org/drawingml/2006/main">
                  <a:graphicData uri="http://schemas.microsoft.com/office/word/2010/wordprocessingShape">
                    <wps:wsp>
                      <wps:cNvCnPr>
                        <a:cxnSpLocks noChangeShapeType="1"/>
                      </wps:cNvCnPr>
                      <wps:spPr bwMode="auto">
                        <a:xfrm>
                          <a:off x="0" y="0"/>
                          <a:ext cx="6120000"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70.9pt;margin-top:212.65pt;height:0pt;width:481.9pt;mso-position-horizontal-relative:page;mso-position-vertical-relative:page;z-index:251660288;mso-width-relative:page;mso-height-relative:page;" filled="f" stroked="t" coordsize="21600,21600" o:allowoverlap="f" o:gfxdata="UEsDBAoAAAAAAIdO4kAAAAAAAAAAAAAAAAAEAAAAZHJzL1BLAwQUAAAACACHTuJAJ4NJltgAAAAM&#10;AQAADwAAAGRycy9kb3ducmV2LnhtbE2PS0/DMBCE70j8B2uRuFTUTvpQFeL0AOTGhdKK6zbeJhHx&#10;Oo3dB/z6uhJSOc7OaObbfHm2nTjS4FvHGpKxAkFcOdNyrWH9WT4tQPiAbLBzTBp+yMOyuL/LMTPu&#10;xB90XIVaxBL2GWpoQugzKX3VkEU/dj1x9HZusBiiHGppBjzFctvJVKm5tNhyXGiwp5eGqu/VwWrw&#10;5Yb25e+oGqmvSe0o3b++v6HWjw+JegYR6BxuYbjiR3QoItPWHdh40UU9TSJ60DBNZxMQ10SiZnMQ&#10;27+TLHL5/4niAlBLAwQUAAAACACHTuJAu+DKZuUBAACsAwAADgAAAGRycy9lMm9Eb2MueG1srVPN&#10;jtMwEL4j8Q6W7zRt0S4QNd1Dq+WyQKVdHsB1nMbC9lget0lfghdA4gYnjtx5G5bHYOy03R8ueyAH&#10;y+OZ+Wa+byazi94atlMBNbiKT0ZjzpSTUGu3qfjHm8sXrznDKFwtDDhV8b1CfjF//mzW+VJNoQVT&#10;q8AIxGHZ+Yq3MfqyKFC2ygocgVeOnA0EKyKZYVPUQXSEbk0xHY/Piw5C7QNIhUivy8HJD4jhKYDQ&#10;NFqqJcitVS4OqEEZEYkSttojn+dum0bJ+KFpUEVmKk5MYz6pCN3X6SzmM1FugvCtlocWxFNaeMTJ&#10;Cu2o6AlqKaJg26D/gbJaBkBo4kiCLQYiWRFiMRk/0ua6FV5lLiQ1+pPo+P9g5fvdKjBdV/zVS86c&#10;sDTx2y8/f3/+9ufXVzpvf3xn5CGZOo8lRS/cKiSisnfX/grkJ2QOFq1wG5Xbvdl7gpikjOJBSjLQ&#10;U7F19w5qihHbCFmzvgk2QZIarM+j2Z9Go/rIJD2eT2h3xjQ1efQVojwm+oDxrQLL0qXiRrukmijF&#10;7gpjakSUx5D07OBSG5MnbxzrKv7mbHqWExCMrpMzhWHYrBcmsJ1Iu5O/zIo898MCbF09FDHuQDrx&#10;HBRbQ71fhaMYNMTczWHh0pbct3P23U82/wt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Ang0mW2AAA&#10;AAwBAAAPAAAAAAAAAAEAIAAAACIAAABkcnMvZG93bnJldi54bWxQSwECFAAUAAAACACHTuJAu+DK&#10;ZuUBAACsAwAADgAAAAAAAAABACAAAAAnAQAAZHJzL2Uyb0RvYy54bWxQSwUGAAAAAAYABgBZAQAA&#10;fgUAAAAA&#10;">
                <v:fill on="f" focussize="0,0"/>
                <v:stroke color="#000000" joinstyle="round"/>
                <v:imagedata o:title=""/>
                <o:lock v:ext="edit" aspectratio="f"/>
              </v:line>
            </w:pict>
          </mc:Fallback>
        </mc:AlternateContent>
      </w:r>
    </w:p>
    <w:p w14:paraId="4BAEE4CF">
      <w:pPr>
        <w:pStyle w:val="55"/>
        <w:framePr w:w="9639" w:h="6976" w:hRule="exact" w:hSpace="0" w:vSpace="0" w:wrap="around" w:hAnchor="page" w:y="6408"/>
        <w:jc w:val="center"/>
        <w:rPr>
          <w:rFonts w:ascii="黑体" w:hAnsi="黑体" w:eastAsia="黑体"/>
          <w:b w:val="0"/>
          <w:bCs w:val="0"/>
          <w:w w:val="100"/>
        </w:rPr>
      </w:pPr>
    </w:p>
    <w:p w14:paraId="7311CC67">
      <w:pPr>
        <w:pStyle w:val="202"/>
        <w:framePr w:h="6974" w:hRule="exact" w:wrap="around" w:x="1419" w:anchorLock="1"/>
        <w:ind w:firstLine="1325" w:firstLineChars="300"/>
        <w:jc w:val="both"/>
        <w:rPr>
          <w:sz w:val="44"/>
          <w:szCs w:val="44"/>
        </w:rPr>
      </w:pPr>
      <w:r>
        <w:rPr>
          <w:rFonts w:hint="eastAsia"/>
          <w:b/>
          <w:bCs/>
          <w:sz w:val="44"/>
          <w:szCs w:val="44"/>
          <w:highlight w:val="none"/>
          <w:lang w:eastAsia="zh-CN"/>
        </w:rPr>
        <w:t>水网天空地一体化智能监测技术规程</w:t>
      </w:r>
    </w:p>
    <w:p w14:paraId="29C6244D">
      <w:pPr>
        <w:framePr w:w="9639" w:h="6974" w:hRule="exact" w:wrap="around" w:vAnchor="page" w:hAnchor="page" w:x="1419" w:y="6408" w:anchorLock="1"/>
        <w:ind w:left="-1418"/>
      </w:pPr>
    </w:p>
    <w:p w14:paraId="4F521E77">
      <w:pPr>
        <w:pStyle w:val="130"/>
        <w:framePr w:w="9639" w:h="6974" w:hRule="exact" w:wrap="around" w:vAnchor="page" w:hAnchor="page" w:x="1419" w:y="6408" w:anchorLock="1"/>
        <w:textAlignment w:val="bottom"/>
        <w:rPr>
          <w:rFonts w:eastAsia="黑体"/>
          <w:szCs w:val="28"/>
        </w:rPr>
      </w:pPr>
      <w:r>
        <w:rPr>
          <w:rFonts w:hint="eastAsia" w:eastAsia="黑体"/>
          <w:szCs w:val="28"/>
        </w:rPr>
        <w:t>Technical specification for integrated sky-air-ground</w:t>
      </w:r>
      <w:r>
        <w:rPr>
          <w:rFonts w:hint="eastAsia" w:eastAsia="黑体"/>
          <w:szCs w:val="28"/>
          <w:lang w:val="en-US" w:eastAsia="zh-CN"/>
        </w:rPr>
        <w:t xml:space="preserve"> </w:t>
      </w:r>
      <w:r>
        <w:rPr>
          <w:rFonts w:hint="eastAsia" w:eastAsia="黑体"/>
          <w:szCs w:val="28"/>
        </w:rPr>
        <w:t>intelligent monitoring of water network</w:t>
      </w:r>
    </w:p>
    <w:p w14:paraId="4D901D7C">
      <w:pPr>
        <w:framePr w:w="9639" w:h="6974" w:hRule="exact" w:wrap="around" w:vAnchor="page" w:hAnchor="page" w:x="1419" w:y="6408" w:anchorLock="1"/>
        <w:spacing w:line="760" w:lineRule="exact"/>
        <w:ind w:left="-1418"/>
      </w:pPr>
    </w:p>
    <w:p w14:paraId="1EEE7E17">
      <w:pPr>
        <w:pStyle w:val="130"/>
        <w:framePr w:w="9639" w:h="6974" w:hRule="exact" w:wrap="around" w:vAnchor="page" w:hAnchor="page" w:x="1419" w:y="6408" w:anchorLock="1"/>
        <w:textAlignment w:val="bottom"/>
        <w:rPr>
          <w:rFonts w:eastAsia="黑体"/>
          <w:szCs w:val="28"/>
        </w:rPr>
      </w:pPr>
    </w:p>
    <w:p w14:paraId="7696EF11">
      <w:pPr>
        <w:pStyle w:val="130"/>
        <w:framePr w:w="9639" w:h="6974" w:hRule="exact" w:wrap="around" w:vAnchor="page" w:hAnchor="page" w:x="1419" w:y="6408" w:anchorLock="1"/>
        <w:spacing w:before="180" w:line="240" w:lineRule="atLeast"/>
        <w:textAlignment w:val="bottom"/>
        <w:rPr>
          <w:rFonts w:hint="eastAsia"/>
          <w:sz w:val="24"/>
          <w:szCs w:val="28"/>
          <w:lang w:val="en-US" w:eastAsia="zh-CN"/>
        </w:rPr>
      </w:pPr>
      <w:r>
        <w:rPr>
          <w:rFonts w:hint="eastAsia"/>
          <w:sz w:val="24"/>
          <w:szCs w:val="28"/>
          <w:lang w:val="en-US" w:eastAsia="zh-CN"/>
        </w:rPr>
        <w:t xml:space="preserve"> </w:t>
      </w:r>
    </w:p>
    <w:p w14:paraId="30ED7C4B">
      <w:pPr>
        <w:pStyle w:val="130"/>
        <w:framePr w:w="9639" w:h="6974" w:hRule="exact" w:wrap="around" w:vAnchor="page" w:hAnchor="page" w:x="1419" w:y="6408" w:anchorLock="1"/>
        <w:spacing w:before="180" w:line="240" w:lineRule="atLeast"/>
        <w:textAlignment w:val="bottom"/>
        <w:rPr>
          <w:rFonts w:hint="eastAsia"/>
          <w:sz w:val="24"/>
          <w:szCs w:val="28"/>
          <w:lang w:val="en-US" w:eastAsia="zh-CN"/>
        </w:rPr>
      </w:pPr>
    </w:p>
    <w:p w14:paraId="0861F1F1">
      <w:pPr>
        <w:pStyle w:val="130"/>
        <w:framePr w:w="9639" w:h="6974" w:hRule="exact" w:wrap="around" w:vAnchor="page" w:hAnchor="page" w:x="1419" w:y="6408" w:anchorLock="1"/>
        <w:spacing w:before="180" w:line="240" w:lineRule="atLeast"/>
        <w:textAlignment w:val="bottom"/>
        <w:rPr>
          <w:rFonts w:hint="eastAsia"/>
          <w:sz w:val="24"/>
          <w:szCs w:val="28"/>
          <w:lang w:val="en-US" w:eastAsia="zh-CN"/>
        </w:rPr>
      </w:pPr>
    </w:p>
    <w:p w14:paraId="18A8A61B">
      <w:pPr>
        <w:pStyle w:val="130"/>
        <w:framePr w:w="9639" w:h="6974" w:hRule="exact" w:wrap="around" w:vAnchor="page" w:hAnchor="page" w:x="1419" w:y="6408" w:anchorLock="1"/>
        <w:spacing w:before="720" w:beforeLines="300" w:after="72" w:afterLines="30" w:line="240" w:lineRule="auto"/>
        <w:textAlignment w:val="bottom"/>
        <w:rPr>
          <w:b/>
          <w:sz w:val="21"/>
          <w:szCs w:val="28"/>
        </w:rPr>
      </w:pPr>
      <w:r>
        <w:rPr>
          <w:b/>
          <w:sz w:val="21"/>
          <w:szCs w:val="28"/>
        </w:rPr>
        <w:fldChar w:fldCharType="begin">
          <w:ffData>
            <w:name w:val="下拉2"/>
            <w:enabled/>
            <w:calcOnExit w:val="0"/>
            <w:ddList>
              <w:result w:val="1"/>
              <w:listEntry w:val=" "/>
              <w:listEntry w:val="在提交反馈意见时，请将您知道的相关专利连同支持性文件一并附上。"/>
            </w:ddList>
          </w:ffData>
        </w:fldChar>
      </w:r>
      <w:bookmarkStart w:id="7" w:name="下拉2"/>
      <w:r>
        <w:rPr>
          <w:b/>
          <w:sz w:val="21"/>
          <w:szCs w:val="28"/>
        </w:rPr>
        <w:instrText xml:space="preserve"> FORMDROPDOWN </w:instrText>
      </w:r>
      <w:r>
        <w:rPr>
          <w:b/>
          <w:sz w:val="21"/>
          <w:szCs w:val="28"/>
        </w:rPr>
        <w:fldChar w:fldCharType="separate"/>
      </w:r>
      <w:r>
        <w:rPr>
          <w:b/>
          <w:sz w:val="21"/>
          <w:szCs w:val="28"/>
        </w:rPr>
        <w:fldChar w:fldCharType="end"/>
      </w:r>
      <w:bookmarkEnd w:id="7"/>
    </w:p>
    <w:p w14:paraId="0A2BC174">
      <w:pPr>
        <w:pStyle w:val="198"/>
        <w:framePr w:wrap="around" w:y="14176"/>
      </w:pPr>
      <w:r>
        <w:rPr>
          <w:rFonts w:ascii="黑体"/>
        </w:rPr>
        <w:fldChar w:fldCharType="begin">
          <w:ffData>
            <w:name w:val="PLSH_DATE_Y"/>
            <w:enabled/>
            <w:calcOnExit w:val="0"/>
            <w:textInput>
              <w:default w:val="XXXX"/>
              <w:maxLength w:val="4"/>
            </w:textInput>
          </w:ffData>
        </w:fldChar>
      </w:r>
      <w:bookmarkStart w:id="8" w:name="PLSH_DATE_Y"/>
      <w:r>
        <w:rPr>
          <w:rFonts w:ascii="黑体"/>
        </w:rPr>
        <w:instrText xml:space="preserve"> FORMTEXT </w:instrText>
      </w:r>
      <w:r>
        <w:rPr>
          <w:rFonts w:ascii="黑体"/>
        </w:rPr>
        <w:fldChar w:fldCharType="separate"/>
      </w:r>
      <w:r>
        <w:rPr>
          <w:rFonts w:ascii="黑体"/>
        </w:rPr>
        <w:t>XXXX</w:t>
      </w:r>
      <w:r>
        <w:rPr>
          <w:rFonts w:ascii="黑体"/>
        </w:rPr>
        <w:fldChar w:fldCharType="end"/>
      </w:r>
      <w:bookmarkEnd w:id="8"/>
      <w:r>
        <w:t xml:space="preserve"> </w:t>
      </w:r>
      <w:r>
        <w:rPr>
          <w:rFonts w:ascii="黑体"/>
        </w:rPr>
        <w:t>-</w:t>
      </w:r>
      <w:r>
        <w:t xml:space="preserve"> </w:t>
      </w:r>
      <w:r>
        <w:rPr>
          <w:rFonts w:ascii="黑体"/>
        </w:rPr>
        <w:fldChar w:fldCharType="begin">
          <w:ffData>
            <w:name w:val="PLSH_DATE_M"/>
            <w:enabled/>
            <w:calcOnExit w:val="0"/>
            <w:textInput>
              <w:default w:val="XX"/>
              <w:maxLength w:val="2"/>
            </w:textInput>
          </w:ffData>
        </w:fldChar>
      </w:r>
      <w:bookmarkStart w:id="9" w:name="PLSH_DATE_M"/>
      <w:r>
        <w:rPr>
          <w:rFonts w:ascii="黑体"/>
        </w:rPr>
        <w:instrText xml:space="preserve"> FORMTEXT </w:instrText>
      </w:r>
      <w:r>
        <w:rPr>
          <w:rFonts w:ascii="黑体"/>
        </w:rPr>
        <w:fldChar w:fldCharType="separate"/>
      </w:r>
      <w:r>
        <w:rPr>
          <w:rFonts w:ascii="黑体"/>
        </w:rPr>
        <w:t>XX</w:t>
      </w:r>
      <w:r>
        <w:rPr>
          <w:rFonts w:ascii="黑体"/>
        </w:rPr>
        <w:fldChar w:fldCharType="end"/>
      </w:r>
      <w:bookmarkEnd w:id="9"/>
      <w:r>
        <w:t xml:space="preserve"> </w:t>
      </w:r>
      <w:r>
        <w:rPr>
          <w:rFonts w:ascii="黑体"/>
        </w:rPr>
        <w:t>-</w:t>
      </w:r>
      <w:r>
        <w:t xml:space="preserve"> </w:t>
      </w:r>
      <w:r>
        <w:rPr>
          <w:rFonts w:ascii="黑体"/>
        </w:rPr>
        <w:fldChar w:fldCharType="begin">
          <w:ffData>
            <w:name w:val="PLSH_DATE_D"/>
            <w:enabled/>
            <w:calcOnExit w:val="0"/>
            <w:textInput>
              <w:default w:val="XX"/>
              <w:maxLength w:val="2"/>
            </w:textInput>
          </w:ffData>
        </w:fldChar>
      </w:r>
      <w:bookmarkStart w:id="10" w:name="PLSH_DATE_D"/>
      <w:r>
        <w:rPr>
          <w:rFonts w:ascii="黑体"/>
        </w:rPr>
        <w:instrText xml:space="preserve"> FORMTEXT </w:instrText>
      </w:r>
      <w:r>
        <w:rPr>
          <w:rFonts w:ascii="黑体"/>
        </w:rPr>
        <w:fldChar w:fldCharType="separate"/>
      </w:r>
      <w:r>
        <w:rPr>
          <w:rFonts w:ascii="黑体"/>
        </w:rPr>
        <w:t>XX</w:t>
      </w:r>
      <w:r>
        <w:rPr>
          <w:rFonts w:ascii="黑体"/>
        </w:rPr>
        <w:fldChar w:fldCharType="end"/>
      </w:r>
      <w:bookmarkEnd w:id="10"/>
      <w:r>
        <w:rPr>
          <w:rFonts w:hint="eastAsia"/>
        </w:rPr>
        <w:t>发布</w:t>
      </w:r>
    </w:p>
    <w:p w14:paraId="3BDAED49">
      <w:pPr>
        <w:pStyle w:val="199"/>
        <w:framePr w:wrap="around" w:y="14176"/>
      </w:pPr>
      <w:r>
        <w:rPr>
          <w:rFonts w:ascii="黑体"/>
        </w:rPr>
        <w:fldChar w:fldCharType="begin">
          <w:ffData>
            <w:name w:val="CROT_DATE_Y"/>
            <w:enabled/>
            <w:calcOnExit w:val="0"/>
            <w:textInput>
              <w:default w:val="XXXX"/>
              <w:maxLength w:val="4"/>
            </w:textInput>
          </w:ffData>
        </w:fldChar>
      </w:r>
      <w:bookmarkStart w:id="11" w:name="CROT_DATE_Y"/>
      <w:r>
        <w:rPr>
          <w:rFonts w:ascii="黑体"/>
        </w:rPr>
        <w:instrText xml:space="preserve"> FORMTEXT </w:instrText>
      </w:r>
      <w:r>
        <w:rPr>
          <w:rFonts w:ascii="黑体"/>
        </w:rPr>
        <w:fldChar w:fldCharType="separate"/>
      </w:r>
      <w:r>
        <w:rPr>
          <w:rFonts w:ascii="黑体"/>
        </w:rPr>
        <w:t>XXXX</w:t>
      </w:r>
      <w:r>
        <w:rPr>
          <w:rFonts w:ascii="黑体"/>
        </w:rPr>
        <w:fldChar w:fldCharType="end"/>
      </w:r>
      <w:bookmarkEnd w:id="11"/>
      <w:r>
        <w:t xml:space="preserve"> </w:t>
      </w:r>
      <w:r>
        <w:rPr>
          <w:rFonts w:ascii="黑体"/>
        </w:rPr>
        <w:t>-</w:t>
      </w:r>
      <w:r>
        <w:t xml:space="preserve"> </w:t>
      </w:r>
      <w:r>
        <w:rPr>
          <w:rFonts w:ascii="黑体"/>
        </w:rPr>
        <w:fldChar w:fldCharType="begin">
          <w:ffData>
            <w:name w:val="CROT_DATE_M"/>
            <w:enabled/>
            <w:calcOnExit w:val="0"/>
            <w:textInput>
              <w:default w:val="XX"/>
              <w:maxLength w:val="2"/>
            </w:textInput>
          </w:ffData>
        </w:fldChar>
      </w:r>
      <w:bookmarkStart w:id="12" w:name="CROT_DATE_M"/>
      <w:r>
        <w:rPr>
          <w:rFonts w:ascii="黑体"/>
        </w:rPr>
        <w:instrText xml:space="preserve"> FORMTEXT </w:instrText>
      </w:r>
      <w:r>
        <w:rPr>
          <w:rFonts w:ascii="黑体"/>
        </w:rPr>
        <w:fldChar w:fldCharType="separate"/>
      </w:r>
      <w:r>
        <w:rPr>
          <w:rFonts w:ascii="黑体"/>
        </w:rPr>
        <w:t>XX</w:t>
      </w:r>
      <w:r>
        <w:rPr>
          <w:rFonts w:ascii="黑体"/>
        </w:rPr>
        <w:fldChar w:fldCharType="end"/>
      </w:r>
      <w:bookmarkEnd w:id="12"/>
      <w:r>
        <w:t xml:space="preserve"> </w:t>
      </w:r>
      <w:r>
        <w:rPr>
          <w:rFonts w:ascii="黑体"/>
        </w:rPr>
        <w:t>-</w:t>
      </w:r>
      <w:r>
        <w:t xml:space="preserve"> </w:t>
      </w:r>
      <w:r>
        <w:rPr>
          <w:rFonts w:ascii="黑体"/>
        </w:rPr>
        <w:fldChar w:fldCharType="begin">
          <w:ffData>
            <w:name w:val="CROT_DATE_D"/>
            <w:enabled/>
            <w:calcOnExit w:val="0"/>
            <w:textInput>
              <w:default w:val="XX"/>
              <w:maxLength w:val="2"/>
            </w:textInput>
          </w:ffData>
        </w:fldChar>
      </w:r>
      <w:bookmarkStart w:id="13" w:name="CROT_DATE_D"/>
      <w:r>
        <w:rPr>
          <w:rFonts w:ascii="黑体"/>
        </w:rPr>
        <w:instrText xml:space="preserve"> FORMTEXT </w:instrText>
      </w:r>
      <w:r>
        <w:rPr>
          <w:rFonts w:ascii="黑体"/>
        </w:rPr>
        <w:fldChar w:fldCharType="separate"/>
      </w:r>
      <w:r>
        <w:rPr>
          <w:rFonts w:ascii="黑体"/>
        </w:rPr>
        <w:t>XX</w:t>
      </w:r>
      <w:r>
        <w:rPr>
          <w:rFonts w:ascii="黑体"/>
        </w:rPr>
        <w:fldChar w:fldCharType="end"/>
      </w:r>
      <w:bookmarkEnd w:id="13"/>
      <w:r>
        <w:rPr>
          <w:rFonts w:hint="eastAsia"/>
        </w:rPr>
        <w:t>实施</w:t>
      </w:r>
    </w:p>
    <w:p w14:paraId="504F8844">
      <w:pPr>
        <w:pStyle w:val="156"/>
        <w:framePr w:h="584" w:hRule="exact" w:hSpace="181" w:vSpace="181" w:wrap="around" w:y="14800"/>
        <w:rPr>
          <w:rFonts w:hAnsi="黑体"/>
        </w:rPr>
      </w:pPr>
      <w:r>
        <w:rPr>
          <w:rFonts w:hint="eastAsia" w:hAnsi="黑体"/>
          <w:w w:val="100"/>
          <w:sz w:val="28"/>
        </w:rPr>
        <w:fldChar w:fldCharType="begin">
          <w:ffData>
            <w:name w:val="fm"/>
            <w:enabled/>
            <w:calcOnExit w:val="0"/>
            <w:textInput>
              <w:default w:val="中国基本建设优化研究会"/>
            </w:textInput>
          </w:ffData>
        </w:fldChar>
      </w:r>
      <w:bookmarkStart w:id="14" w:name="fm"/>
      <w:r>
        <w:rPr>
          <w:rFonts w:hint="eastAsia" w:hAnsi="黑体"/>
          <w:w w:val="100"/>
          <w:sz w:val="28"/>
        </w:rPr>
        <w:instrText xml:space="preserve"> </w:instrText>
      </w:r>
      <w:r>
        <w:rPr>
          <w:rFonts w:hAnsi="黑体"/>
          <w:w w:val="100"/>
          <w:sz w:val="28"/>
        </w:rPr>
        <w:instrText xml:space="preserve">FORMTEXT</w:instrText>
      </w:r>
      <w:r>
        <w:rPr>
          <w:rFonts w:hint="eastAsia" w:hAnsi="黑体"/>
          <w:w w:val="100"/>
          <w:sz w:val="28"/>
        </w:rPr>
        <w:instrText xml:space="preserve"> </w:instrText>
      </w:r>
      <w:r>
        <w:rPr>
          <w:rFonts w:hint="eastAsia" w:hAnsi="黑体"/>
          <w:w w:val="100"/>
          <w:sz w:val="28"/>
        </w:rPr>
        <w:fldChar w:fldCharType="separate"/>
      </w:r>
      <w:r>
        <w:rPr>
          <w:rFonts w:hint="eastAsia" w:hAnsi="黑体"/>
          <w:w w:val="100"/>
          <w:sz w:val="28"/>
        </w:rPr>
        <w:t>中国基本建设优化研究会</w:t>
      </w:r>
      <w:r>
        <w:rPr>
          <w:rFonts w:hint="eastAsia" w:hAnsi="黑体"/>
          <w:w w:val="100"/>
          <w:sz w:val="28"/>
        </w:rPr>
        <w:fldChar w:fldCharType="end"/>
      </w:r>
      <w:bookmarkEnd w:id="14"/>
      <w:r>
        <w:rPr>
          <w:rFonts w:ascii="Times New Roman"/>
          <w:w w:val="100"/>
          <w:sz w:val="28"/>
        </w:rPr>
        <w:t>  </w:t>
      </w:r>
      <w:r>
        <w:rPr>
          <w:rStyle w:val="234"/>
          <w:rFonts w:hint="eastAsia" w:hAnsi="黑体"/>
          <w:position w:val="0"/>
        </w:rPr>
        <w:t>发</w:t>
      </w:r>
      <w:r>
        <w:rPr>
          <w:rStyle w:val="234"/>
          <w:rFonts w:hint="eastAsia" w:hAnsi="黑体"/>
          <w:spacing w:val="0"/>
          <w:position w:val="0"/>
        </w:rPr>
        <w:t>布</w:t>
      </w:r>
    </w:p>
    <w:p w14:paraId="0AD344C6">
      <w:pPr>
        <w:rPr>
          <w:rFonts w:ascii="宋体" w:hAnsi="宋体"/>
          <w:sz w:val="28"/>
          <w:szCs w:val="28"/>
        </w:rPr>
        <w:sectPr>
          <w:headerReference r:id="rId7" w:type="first"/>
          <w:footerReference r:id="rId9" w:type="first"/>
          <w:headerReference r:id="rId5" w:type="default"/>
          <w:headerReference r:id="rId6" w:type="even"/>
          <w:footerReference r:id="rId8" w:type="even"/>
          <w:type w:val="continuous"/>
          <w:pgSz w:w="11906" w:h="16838"/>
          <w:pgMar w:top="567" w:right="1134" w:bottom="1134" w:left="1134" w:header="1418" w:footer="1134" w:gutter="284"/>
          <w:cols w:space="425" w:num="1"/>
          <w:titlePg/>
          <w:docGrid w:linePitch="312" w:charSpace="0"/>
        </w:sectPr>
      </w:pPr>
      <w:r>
        <w:rPr>
          <w:rFonts w:hint="eastAsia" w:ascii="宋体" w:hAnsi="宋体"/>
          <w:sz w:val="28"/>
          <w:szCs w:val="28"/>
        </w:rPr>
        <mc:AlternateContent>
          <mc:Choice Requires="wps">
            <w:drawing>
              <wp:anchor distT="0" distB="0" distL="114300" distR="114300" simplePos="0" relativeHeight="251661312" behindDoc="0" locked="1" layoutInCell="1" allowOverlap="1">
                <wp:simplePos x="0" y="0"/>
                <wp:positionH relativeFrom="page">
                  <wp:posOffset>899795</wp:posOffset>
                </wp:positionH>
                <wp:positionV relativeFrom="page">
                  <wp:posOffset>9253220</wp:posOffset>
                </wp:positionV>
                <wp:extent cx="6120130" cy="0"/>
                <wp:effectExtent l="0" t="0" r="0" b="0"/>
                <wp:wrapNone/>
                <wp:docPr id="5" name="直接连接符 5"/>
                <wp:cNvGraphicFramePr/>
                <a:graphic xmlns:a="http://schemas.openxmlformats.org/drawingml/2006/main">
                  <a:graphicData uri="http://schemas.microsoft.com/office/word/2010/wordprocessingShape">
                    <wps:wsp>
                      <wps:cNvCnPr>
                        <a:cxnSpLocks noChangeShapeType="1"/>
                      </wps:cNvCnPr>
                      <wps:spPr bwMode="auto">
                        <a:xfrm>
                          <a:off x="0" y="0"/>
                          <a:ext cx="6120000"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70.85pt;margin-top:728.6pt;height:0pt;width:481.9pt;mso-position-horizontal-relative:page;mso-position-vertical-relative:page;z-index:251661312;mso-width-relative:page;mso-height-relative:page;" filled="f" stroked="t" coordsize="21600,21600" o:gfxdata="UEsDBAoAAAAAAIdO4kAAAAAAAAAAAAAAAAAEAAAAZHJzL1BLAwQUAAAACACHTuJAqzMc+9cAAAAO&#10;AQAADwAAAGRycy9kb3ducmV2LnhtbE2PzU7DMBCE70i8g7VIXKrWTiAtCnF6AHLjQgFx3cZLEhGv&#10;09j9gafHOVRw29kdzX5TrE+2FwcafedYQ7JQIIhrZzpuNLy9VvM7ED4gG+wdk4Zv8rAuLy8KzI07&#10;8gsdNqERMYR9jhraEIZcSl+3ZNEv3EAcb59utBiiHBtpRjzGcNvLVKmltNhx/NDiQA8t1V+bvdXg&#10;q3faVT+zeqY+bhpH6e7x+Qm1vr5K1D2IQKfwZ4YJP6JDGZm2bs/Giz7q22QVrdOQrVIQkyVRWQZi&#10;e97JspD/a5S/UEsDBBQAAAAIAIdO4kBZLiWY4wEAAKoDAAAOAAAAZHJzL2Uyb0RvYy54bWytU81u&#10;EzEQviPxDpbvZJNIqWCVTQ+JyqVApJYHcLzeXQvbY3mc7OYleAEkbnDiyJ23oTwGY+eH0l566B4s&#10;j2fmm/m+mZ1fDtawnQqowVV8MhpzppyEWru24h9vr1695gyjcLUw4FTF9wr55eLli3nvSzWFDkyt&#10;AiMQh2XvK97F6MuiQNkpK3AEXjlyNhCsiGSGtqiD6AndmmI6Hl8UPYTaB5AKkV5XByc/IoanAELT&#10;aKlWILdWuXhADcqISJSw0x75InfbNErGD02DKjJTcWIa80lF6L5JZ7GYi7INwndaHlsQT2nhAScr&#10;tKOiZ6iViIJtg34EZbUMgNDEkQRbHIhkRYjFZPxAm5tOeJW5kNToz6Lj88HK97t1YLqu+IwzJywN&#10;/O7Lz9+fv/359ZXOux/f2SyJ1HssKXbp1iHRlIO78dcgPyFzsOyEa1Vu9nbvCWGSMor/UpKBnkpt&#10;+ndQU4zYRsiKDU2wCZK0YEMezP48GDVEJunxYkKbM6aZyZOvEOUp0QeMbxVYli4VN9olzUQpdtcY&#10;UyOiPIWkZwdX2pg8d+NYX/E3s+ksJyAYXSdnCsPQbpYmsJ1Im5O/zIo898MCbF19KGLckXTieVBs&#10;A/V+HU5i0AhzN8d1Szty387Z/36xxV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CrMxz71wAAAA4B&#10;AAAPAAAAAAAAAAEAIAAAACIAAABkcnMvZG93bnJldi54bWxQSwECFAAUAAAACACHTuJAWS4lmOMB&#10;AACqAwAADgAAAAAAAAABACAAAAAmAQAAZHJzL2Uyb0RvYy54bWxQSwUGAAAAAAYABgBZAQAAewUA&#10;AAAA&#10;">
                <v:fill on="f" focussize="0,0"/>
                <v:stroke color="#000000" joinstyle="round"/>
                <v:imagedata o:title=""/>
                <o:lock v:ext="edit" aspectratio="f"/>
                <w10:anchorlock/>
              </v:line>
            </w:pict>
          </mc:Fallback>
        </mc:AlternateContent>
      </w:r>
    </w:p>
    <w:p w14:paraId="34D67F76">
      <w:pPr>
        <w:adjustRightInd/>
        <w:spacing w:line="240" w:lineRule="auto"/>
        <w:jc w:val="center"/>
        <w:rPr>
          <w:rFonts w:hint="eastAsia" w:ascii="Times New Roman" w:hAnsi="Times New Roman" w:eastAsia="黑体"/>
          <w:sz w:val="32"/>
          <w:szCs w:val="32"/>
        </w:rPr>
      </w:pPr>
      <w:bookmarkStart w:id="15" w:name="BookMark1"/>
      <w:bookmarkStart w:id="16" w:name="_Toc5963"/>
      <w:r>
        <w:rPr>
          <w:rFonts w:hint="eastAsia" w:ascii="Times New Roman" w:hAnsi="Times New Roman" w:eastAsia="黑体"/>
          <w:sz w:val="32"/>
          <w:szCs w:val="32"/>
        </w:rPr>
        <w:t>目</w:t>
      </w:r>
      <w:r>
        <w:rPr>
          <w:rFonts w:ascii="Times New Roman" w:hAnsi="Times New Roman" w:eastAsia="黑体"/>
          <w:sz w:val="32"/>
          <w:szCs w:val="32"/>
        </w:rPr>
        <w:t>  </w:t>
      </w:r>
      <w:r>
        <w:rPr>
          <w:rFonts w:hint="eastAsia" w:ascii="Times New Roman" w:hAnsi="Times New Roman" w:eastAsia="黑体"/>
          <w:sz w:val="32"/>
          <w:szCs w:val="32"/>
        </w:rPr>
        <w:t>次</w:t>
      </w:r>
    </w:p>
    <w:p w14:paraId="238BE21B">
      <w:pPr>
        <w:adjustRightInd/>
        <w:spacing w:line="240" w:lineRule="auto"/>
        <w:rPr>
          <w:rFonts w:hint="eastAsia" w:ascii="Times New Roman" w:hAnsi="Times New Roman"/>
          <w:szCs w:val="24"/>
        </w:rPr>
      </w:pPr>
    </w:p>
    <w:p w14:paraId="337BB4B0">
      <w:pPr>
        <w:pStyle w:val="21"/>
        <w:tabs>
          <w:tab w:val="right" w:leader="dot" w:pos="9354"/>
        </w:tabs>
        <w:rPr>
          <w:rFonts w:hint="default" w:ascii="Times New Roman" w:hAnsi="Times New Roman" w:eastAsia="宋体" w:cs="Times New Roman"/>
        </w:rPr>
      </w:pPr>
      <w:r>
        <w:rPr>
          <w:rFonts w:ascii="Times New Roman" w:hAnsi="Times New Roman"/>
        </w:rPr>
        <w:fldChar w:fldCharType="begin"/>
      </w:r>
      <w:r>
        <w:rPr>
          <w:rFonts w:ascii="Times New Roman" w:hAnsi="Times New Roman"/>
        </w:rPr>
        <w:instrText xml:space="preserve"> TOC \o "1-3" \u </w:instrText>
      </w:r>
      <w:r>
        <w:rPr>
          <w:rFonts w:ascii="Times New Roman" w:hAnsi="Times New Roman"/>
        </w:rPr>
        <w:fldChar w:fldCharType="separate"/>
      </w:r>
      <w:r>
        <w:rPr>
          <w:rFonts w:hint="default" w:ascii="Times New Roman" w:hAnsi="Times New Roman" w:eastAsia="宋体" w:cs="Times New Roman"/>
          <w:b/>
          <w:bCs/>
          <w:spacing w:val="320"/>
        </w:rPr>
        <w:t>前</w:t>
      </w:r>
      <w:r>
        <w:rPr>
          <w:rFonts w:hint="default" w:ascii="Times New Roman" w:hAnsi="Times New Roman" w:eastAsia="宋体" w:cs="Times New Roman"/>
          <w:b/>
          <w:bCs/>
        </w:rPr>
        <w:t>言</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_Toc20687 \h </w:instrText>
      </w:r>
      <w:r>
        <w:rPr>
          <w:rFonts w:hint="default" w:ascii="Times New Roman" w:hAnsi="Times New Roman" w:eastAsia="宋体" w:cs="Times New Roman"/>
        </w:rPr>
        <w:fldChar w:fldCharType="separate"/>
      </w:r>
      <w:r>
        <w:rPr>
          <w:rFonts w:hint="default" w:ascii="Times New Roman" w:hAnsi="Times New Roman" w:eastAsia="宋体" w:cs="Times New Roman"/>
        </w:rPr>
        <w:t>III</w:t>
      </w:r>
      <w:r>
        <w:rPr>
          <w:rFonts w:hint="default" w:ascii="Times New Roman" w:hAnsi="Times New Roman" w:eastAsia="宋体" w:cs="Times New Roman"/>
        </w:rPr>
        <w:fldChar w:fldCharType="end"/>
      </w:r>
    </w:p>
    <w:p w14:paraId="75DEFFD2">
      <w:pPr>
        <w:pStyle w:val="21"/>
        <w:tabs>
          <w:tab w:val="right" w:leader="dot" w:pos="9354"/>
        </w:tabs>
        <w:rPr>
          <w:rFonts w:hint="default" w:ascii="Times New Roman" w:hAnsi="Times New Roman" w:eastAsia="宋体" w:cs="Times New Roman"/>
        </w:rPr>
      </w:pPr>
      <w:r>
        <w:rPr>
          <w:rFonts w:hint="default" w:ascii="Times New Roman" w:hAnsi="Times New Roman" w:eastAsia="宋体" w:cs="Times New Roman"/>
          <w:b/>
          <w:bCs/>
          <w:kern w:val="44"/>
          <w:lang w:val="en-US" w:eastAsia="zh-CN"/>
        </w:rPr>
        <w:t xml:space="preserve">1 </w:t>
      </w:r>
      <w:r>
        <w:rPr>
          <w:rFonts w:hint="default" w:ascii="Times New Roman" w:hAnsi="Times New Roman" w:eastAsia="宋体" w:cs="Times New Roman"/>
          <w:b/>
          <w:bCs/>
          <w:kern w:val="44"/>
          <w:highlight w:val="none"/>
          <w:lang w:val="en-US" w:eastAsia="zh-CN"/>
        </w:rPr>
        <w:t>范围</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_Toc3248 \h </w:instrText>
      </w:r>
      <w:r>
        <w:rPr>
          <w:rFonts w:hint="default" w:ascii="Times New Roman" w:hAnsi="Times New Roman" w:eastAsia="宋体" w:cs="Times New Roman"/>
        </w:rPr>
        <w:fldChar w:fldCharType="separate"/>
      </w:r>
      <w:r>
        <w:rPr>
          <w:rFonts w:hint="default" w:ascii="Times New Roman" w:hAnsi="Times New Roman" w:eastAsia="宋体" w:cs="Times New Roman"/>
        </w:rPr>
        <w:t>1</w:t>
      </w:r>
      <w:r>
        <w:rPr>
          <w:rFonts w:hint="default" w:ascii="Times New Roman" w:hAnsi="Times New Roman" w:eastAsia="宋体" w:cs="Times New Roman"/>
        </w:rPr>
        <w:fldChar w:fldCharType="end"/>
      </w:r>
    </w:p>
    <w:p w14:paraId="18FC3FEF">
      <w:pPr>
        <w:pStyle w:val="21"/>
        <w:tabs>
          <w:tab w:val="right" w:leader="dot" w:pos="9354"/>
        </w:tabs>
        <w:rPr>
          <w:rFonts w:hint="default" w:ascii="Times New Roman" w:hAnsi="Times New Roman" w:eastAsia="宋体" w:cs="Times New Roman"/>
        </w:rPr>
      </w:pPr>
      <w:r>
        <w:rPr>
          <w:rFonts w:hint="default" w:ascii="Times New Roman" w:hAnsi="Times New Roman" w:eastAsia="宋体" w:cs="Times New Roman"/>
          <w:b/>
          <w:bCs/>
          <w:kern w:val="44"/>
          <w:lang w:val="en-US" w:eastAsia="zh-CN"/>
        </w:rPr>
        <w:t xml:space="preserve">2 </w:t>
      </w:r>
      <w:r>
        <w:rPr>
          <w:rFonts w:hint="default" w:ascii="Times New Roman" w:hAnsi="Times New Roman" w:eastAsia="宋体" w:cs="Times New Roman"/>
          <w:b/>
          <w:bCs/>
          <w:kern w:val="44"/>
          <w:highlight w:val="none"/>
          <w:lang w:val="en-US" w:eastAsia="zh-CN"/>
        </w:rPr>
        <w:t>规范性引用文件</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_Toc4724 \h </w:instrText>
      </w:r>
      <w:r>
        <w:rPr>
          <w:rFonts w:hint="default" w:ascii="Times New Roman" w:hAnsi="Times New Roman" w:eastAsia="宋体" w:cs="Times New Roman"/>
        </w:rPr>
        <w:fldChar w:fldCharType="separate"/>
      </w:r>
      <w:r>
        <w:rPr>
          <w:rFonts w:hint="default" w:ascii="Times New Roman" w:hAnsi="Times New Roman" w:eastAsia="宋体" w:cs="Times New Roman"/>
        </w:rPr>
        <w:t>1</w:t>
      </w:r>
      <w:r>
        <w:rPr>
          <w:rFonts w:hint="default" w:ascii="Times New Roman" w:hAnsi="Times New Roman" w:eastAsia="宋体" w:cs="Times New Roman"/>
        </w:rPr>
        <w:fldChar w:fldCharType="end"/>
      </w:r>
    </w:p>
    <w:p w14:paraId="11888D86">
      <w:pPr>
        <w:pStyle w:val="21"/>
        <w:tabs>
          <w:tab w:val="right" w:leader="dot" w:pos="9354"/>
        </w:tabs>
        <w:rPr>
          <w:rFonts w:hint="default" w:ascii="Times New Roman" w:hAnsi="Times New Roman" w:eastAsia="宋体" w:cs="Times New Roman"/>
        </w:rPr>
      </w:pPr>
      <w:r>
        <w:rPr>
          <w:rFonts w:hint="default" w:ascii="Times New Roman" w:hAnsi="Times New Roman" w:eastAsia="宋体" w:cs="Times New Roman"/>
          <w:b/>
          <w:bCs/>
          <w:kern w:val="44"/>
          <w:lang w:val="en-US" w:eastAsia="zh-CN"/>
        </w:rPr>
        <w:t xml:space="preserve">3 </w:t>
      </w:r>
      <w:r>
        <w:rPr>
          <w:rFonts w:hint="default" w:ascii="Times New Roman" w:hAnsi="Times New Roman" w:eastAsia="宋体" w:cs="Times New Roman"/>
          <w:b/>
          <w:bCs/>
          <w:kern w:val="44"/>
          <w:highlight w:val="none"/>
          <w:lang w:val="en-US" w:eastAsia="zh-CN"/>
        </w:rPr>
        <w:t>术语</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_Toc9186 \h </w:instrText>
      </w:r>
      <w:r>
        <w:rPr>
          <w:rFonts w:hint="default" w:ascii="Times New Roman" w:hAnsi="Times New Roman" w:eastAsia="宋体" w:cs="Times New Roman"/>
        </w:rPr>
        <w:fldChar w:fldCharType="separate"/>
      </w:r>
      <w:r>
        <w:rPr>
          <w:rFonts w:hint="default" w:ascii="Times New Roman" w:hAnsi="Times New Roman" w:eastAsia="宋体" w:cs="Times New Roman"/>
        </w:rPr>
        <w:t>1</w:t>
      </w:r>
      <w:r>
        <w:rPr>
          <w:rFonts w:hint="default" w:ascii="Times New Roman" w:hAnsi="Times New Roman" w:eastAsia="宋体" w:cs="Times New Roman"/>
        </w:rPr>
        <w:fldChar w:fldCharType="end"/>
      </w:r>
    </w:p>
    <w:p w14:paraId="058CCE9D">
      <w:pPr>
        <w:pStyle w:val="21"/>
        <w:tabs>
          <w:tab w:val="right" w:leader="dot" w:pos="9354"/>
        </w:tabs>
        <w:rPr>
          <w:rFonts w:hint="default" w:ascii="Times New Roman" w:hAnsi="Times New Roman" w:eastAsia="宋体" w:cs="Times New Roman"/>
        </w:rPr>
      </w:pPr>
      <w:r>
        <w:rPr>
          <w:rFonts w:hint="default" w:ascii="Times New Roman" w:hAnsi="Times New Roman" w:eastAsia="宋体" w:cs="Times New Roman"/>
          <w:b/>
          <w:bCs/>
          <w:kern w:val="44"/>
          <w:lang w:val="en-US" w:eastAsia="zh-CN"/>
        </w:rPr>
        <w:t>4 总体要求</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_Toc23192 \h </w:instrText>
      </w:r>
      <w:r>
        <w:rPr>
          <w:rFonts w:hint="default" w:ascii="Times New Roman" w:hAnsi="Times New Roman" w:eastAsia="宋体" w:cs="Times New Roman"/>
        </w:rPr>
        <w:fldChar w:fldCharType="separate"/>
      </w:r>
      <w:r>
        <w:rPr>
          <w:rFonts w:hint="default" w:ascii="Times New Roman" w:hAnsi="Times New Roman" w:eastAsia="宋体" w:cs="Times New Roman"/>
        </w:rPr>
        <w:t>3</w:t>
      </w:r>
      <w:r>
        <w:rPr>
          <w:rFonts w:hint="default" w:ascii="Times New Roman" w:hAnsi="Times New Roman" w:eastAsia="宋体" w:cs="Times New Roman"/>
        </w:rPr>
        <w:fldChar w:fldCharType="end"/>
      </w:r>
    </w:p>
    <w:p w14:paraId="3EB63A48">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rPr>
        <w:t xml:space="preserve">4.1 </w:t>
      </w:r>
      <w:r>
        <w:rPr>
          <w:rFonts w:hint="default" w:ascii="Times New Roman" w:hAnsi="Times New Roman" w:eastAsia="宋体" w:cs="Times New Roman"/>
          <w:bCs/>
          <w:kern w:val="21"/>
          <w:lang w:val="en-US" w:eastAsia="zh-CN"/>
        </w:rPr>
        <w:t xml:space="preserve"> </w:t>
      </w:r>
      <w:r>
        <w:rPr>
          <w:rFonts w:hint="default" w:ascii="Times New Roman" w:hAnsi="Times New Roman" w:eastAsia="宋体" w:cs="Times New Roman"/>
          <w:bCs w:val="0"/>
          <w:kern w:val="21"/>
        </w:rPr>
        <w:t>系统架构</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_Toc15337 \h </w:instrText>
      </w:r>
      <w:r>
        <w:rPr>
          <w:rFonts w:hint="default" w:ascii="Times New Roman" w:hAnsi="Times New Roman" w:eastAsia="宋体" w:cs="Times New Roman"/>
        </w:rPr>
        <w:fldChar w:fldCharType="separate"/>
      </w:r>
      <w:r>
        <w:rPr>
          <w:rFonts w:hint="default" w:ascii="Times New Roman" w:hAnsi="Times New Roman" w:eastAsia="宋体" w:cs="Times New Roman"/>
        </w:rPr>
        <w:t>3</w:t>
      </w:r>
      <w:r>
        <w:rPr>
          <w:rFonts w:hint="default" w:ascii="Times New Roman" w:hAnsi="Times New Roman" w:eastAsia="宋体" w:cs="Times New Roman"/>
        </w:rPr>
        <w:fldChar w:fldCharType="end"/>
      </w:r>
    </w:p>
    <w:p w14:paraId="091E65C6">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rPr>
        <w:t xml:space="preserve">4.2 </w:t>
      </w:r>
      <w:r>
        <w:rPr>
          <w:rFonts w:hint="default" w:ascii="Times New Roman" w:hAnsi="Times New Roman" w:eastAsia="宋体" w:cs="Times New Roman"/>
          <w:bCs/>
          <w:kern w:val="21"/>
          <w:lang w:val="en-US" w:eastAsia="zh-CN"/>
        </w:rPr>
        <w:t xml:space="preserve"> </w:t>
      </w:r>
      <w:r>
        <w:rPr>
          <w:rFonts w:hint="default" w:ascii="Times New Roman" w:hAnsi="Times New Roman" w:eastAsia="宋体" w:cs="Times New Roman"/>
          <w:bCs w:val="0"/>
          <w:kern w:val="21"/>
        </w:rPr>
        <w:t>协同观测原则</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_Toc29771 \h </w:instrText>
      </w:r>
      <w:r>
        <w:rPr>
          <w:rFonts w:hint="default" w:ascii="Times New Roman" w:hAnsi="Times New Roman" w:eastAsia="宋体" w:cs="Times New Roman"/>
        </w:rPr>
        <w:fldChar w:fldCharType="separate"/>
      </w:r>
      <w:r>
        <w:rPr>
          <w:rFonts w:hint="default" w:ascii="Times New Roman" w:hAnsi="Times New Roman" w:eastAsia="宋体" w:cs="Times New Roman"/>
        </w:rPr>
        <w:t>3</w:t>
      </w:r>
      <w:r>
        <w:rPr>
          <w:rFonts w:hint="default" w:ascii="Times New Roman" w:hAnsi="Times New Roman" w:eastAsia="宋体" w:cs="Times New Roman"/>
        </w:rPr>
        <w:fldChar w:fldCharType="end"/>
      </w:r>
    </w:p>
    <w:p w14:paraId="0CCC663D">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rPr>
        <w:t xml:space="preserve">4.3 </w:t>
      </w:r>
      <w:r>
        <w:rPr>
          <w:rFonts w:hint="default" w:ascii="Times New Roman" w:hAnsi="Times New Roman" w:eastAsia="宋体" w:cs="Times New Roman"/>
          <w:bCs/>
          <w:kern w:val="21"/>
          <w:lang w:val="en-US" w:eastAsia="zh-CN"/>
        </w:rPr>
        <w:t xml:space="preserve"> </w:t>
      </w:r>
      <w:r>
        <w:rPr>
          <w:rFonts w:hint="default" w:ascii="Times New Roman" w:hAnsi="Times New Roman" w:eastAsia="宋体" w:cs="Times New Roman"/>
          <w:bCs w:val="0"/>
          <w:kern w:val="21"/>
        </w:rPr>
        <w:t>系统性能要求</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_Toc12308 \h </w:instrText>
      </w:r>
      <w:r>
        <w:rPr>
          <w:rFonts w:hint="default" w:ascii="Times New Roman" w:hAnsi="Times New Roman" w:eastAsia="宋体" w:cs="Times New Roman"/>
        </w:rPr>
        <w:fldChar w:fldCharType="separate"/>
      </w:r>
      <w:r>
        <w:rPr>
          <w:rFonts w:hint="default" w:ascii="Times New Roman" w:hAnsi="Times New Roman" w:eastAsia="宋体" w:cs="Times New Roman"/>
        </w:rPr>
        <w:t>3</w:t>
      </w:r>
      <w:r>
        <w:rPr>
          <w:rFonts w:hint="default" w:ascii="Times New Roman" w:hAnsi="Times New Roman" w:eastAsia="宋体" w:cs="Times New Roman"/>
        </w:rPr>
        <w:fldChar w:fldCharType="end"/>
      </w:r>
    </w:p>
    <w:p w14:paraId="0E7BD3AD">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rPr>
        <w:t xml:space="preserve">4.4 </w:t>
      </w:r>
      <w:r>
        <w:rPr>
          <w:rFonts w:hint="default" w:ascii="Times New Roman" w:hAnsi="Times New Roman" w:eastAsia="宋体" w:cs="Times New Roman"/>
          <w:bCs/>
          <w:kern w:val="21"/>
          <w:lang w:val="en-US" w:eastAsia="zh-CN"/>
        </w:rPr>
        <w:t xml:space="preserve"> </w:t>
      </w:r>
      <w:r>
        <w:rPr>
          <w:rFonts w:hint="default" w:ascii="Times New Roman" w:hAnsi="Times New Roman" w:eastAsia="宋体" w:cs="Times New Roman"/>
          <w:bCs w:val="0"/>
          <w:kern w:val="21"/>
        </w:rPr>
        <w:t>智能化与孪生要求</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_Toc8221 \h </w:instrText>
      </w:r>
      <w:r>
        <w:rPr>
          <w:rFonts w:hint="default" w:ascii="Times New Roman" w:hAnsi="Times New Roman" w:eastAsia="宋体" w:cs="Times New Roman"/>
        </w:rPr>
        <w:fldChar w:fldCharType="separate"/>
      </w:r>
      <w:r>
        <w:rPr>
          <w:rFonts w:hint="default" w:ascii="Times New Roman" w:hAnsi="Times New Roman" w:eastAsia="宋体" w:cs="Times New Roman"/>
        </w:rPr>
        <w:t>4</w:t>
      </w:r>
      <w:r>
        <w:rPr>
          <w:rFonts w:hint="default" w:ascii="Times New Roman" w:hAnsi="Times New Roman" w:eastAsia="宋体" w:cs="Times New Roman"/>
        </w:rPr>
        <w:fldChar w:fldCharType="end"/>
      </w:r>
    </w:p>
    <w:p w14:paraId="6281E807">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rPr>
        <w:t xml:space="preserve">4.5 </w:t>
      </w:r>
      <w:r>
        <w:rPr>
          <w:rFonts w:hint="default" w:ascii="Times New Roman" w:hAnsi="Times New Roman" w:eastAsia="宋体" w:cs="Times New Roman"/>
          <w:bCs/>
          <w:kern w:val="21"/>
          <w:lang w:val="en-US" w:eastAsia="zh-CN"/>
        </w:rPr>
        <w:t xml:space="preserve"> </w:t>
      </w:r>
      <w:r>
        <w:rPr>
          <w:rFonts w:hint="default" w:ascii="Times New Roman" w:hAnsi="Times New Roman" w:eastAsia="宋体" w:cs="Times New Roman"/>
          <w:bCs w:val="0"/>
          <w:kern w:val="21"/>
        </w:rPr>
        <w:t>安全与运维要求</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_Toc12103 \h </w:instrText>
      </w:r>
      <w:r>
        <w:rPr>
          <w:rFonts w:hint="default" w:ascii="Times New Roman" w:hAnsi="Times New Roman" w:eastAsia="宋体" w:cs="Times New Roman"/>
        </w:rPr>
        <w:fldChar w:fldCharType="separate"/>
      </w:r>
      <w:r>
        <w:rPr>
          <w:rFonts w:hint="default" w:ascii="Times New Roman" w:hAnsi="Times New Roman" w:eastAsia="宋体" w:cs="Times New Roman"/>
        </w:rPr>
        <w:t>4</w:t>
      </w:r>
      <w:r>
        <w:rPr>
          <w:rFonts w:hint="default" w:ascii="Times New Roman" w:hAnsi="Times New Roman" w:eastAsia="宋体" w:cs="Times New Roman"/>
        </w:rPr>
        <w:fldChar w:fldCharType="end"/>
      </w:r>
    </w:p>
    <w:p w14:paraId="7BA6625D">
      <w:pPr>
        <w:pStyle w:val="21"/>
        <w:tabs>
          <w:tab w:val="right" w:leader="dot" w:pos="9354"/>
        </w:tabs>
        <w:rPr>
          <w:rFonts w:hint="default" w:ascii="Times New Roman" w:hAnsi="Times New Roman" w:eastAsia="宋体" w:cs="Times New Roman"/>
        </w:rPr>
      </w:pPr>
      <w:r>
        <w:rPr>
          <w:rFonts w:hint="default" w:ascii="Times New Roman" w:hAnsi="Times New Roman" w:eastAsia="宋体" w:cs="Times New Roman"/>
          <w:b/>
          <w:bCs/>
          <w:kern w:val="44"/>
          <w:lang w:val="en-US" w:eastAsia="zh-CN"/>
        </w:rPr>
        <w:t>5 监测要素与指标</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_Toc18344 \h </w:instrText>
      </w:r>
      <w:r>
        <w:rPr>
          <w:rFonts w:hint="default" w:ascii="Times New Roman" w:hAnsi="Times New Roman" w:eastAsia="宋体" w:cs="Times New Roman"/>
        </w:rPr>
        <w:fldChar w:fldCharType="separate"/>
      </w:r>
      <w:r>
        <w:rPr>
          <w:rFonts w:hint="default" w:ascii="Times New Roman" w:hAnsi="Times New Roman" w:eastAsia="宋体" w:cs="Times New Roman"/>
        </w:rPr>
        <w:t>4</w:t>
      </w:r>
      <w:r>
        <w:rPr>
          <w:rFonts w:hint="default" w:ascii="Times New Roman" w:hAnsi="Times New Roman" w:eastAsia="宋体" w:cs="Times New Roman"/>
        </w:rPr>
        <w:fldChar w:fldCharType="end"/>
      </w:r>
    </w:p>
    <w:p w14:paraId="717CEB83">
      <w:pPr>
        <w:pStyle w:val="21"/>
        <w:tabs>
          <w:tab w:val="right" w:leader="dot" w:pos="9354"/>
        </w:tabs>
        <w:rPr>
          <w:rFonts w:hint="default" w:ascii="Times New Roman" w:hAnsi="Times New Roman" w:eastAsia="宋体" w:cs="Times New Roman"/>
        </w:rPr>
      </w:pPr>
      <w:r>
        <w:rPr>
          <w:rFonts w:hint="default" w:ascii="Times New Roman" w:hAnsi="Times New Roman" w:eastAsia="宋体" w:cs="Times New Roman"/>
          <w:b/>
          <w:bCs/>
          <w:kern w:val="44"/>
          <w:lang w:val="en-US" w:eastAsia="zh-CN"/>
        </w:rPr>
        <w:t>6 天基监测</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_Toc16853 \h </w:instrText>
      </w:r>
      <w:r>
        <w:rPr>
          <w:rFonts w:hint="default" w:ascii="Times New Roman" w:hAnsi="Times New Roman" w:eastAsia="宋体" w:cs="Times New Roman"/>
        </w:rPr>
        <w:fldChar w:fldCharType="separate"/>
      </w:r>
      <w:r>
        <w:rPr>
          <w:rFonts w:hint="default" w:ascii="Times New Roman" w:hAnsi="Times New Roman" w:eastAsia="宋体" w:cs="Times New Roman"/>
        </w:rPr>
        <w:t>5</w:t>
      </w:r>
      <w:r>
        <w:rPr>
          <w:rFonts w:hint="default" w:ascii="Times New Roman" w:hAnsi="Times New Roman" w:eastAsia="宋体" w:cs="Times New Roman"/>
        </w:rPr>
        <w:fldChar w:fldCharType="end"/>
      </w:r>
    </w:p>
    <w:p w14:paraId="7CDABFC1">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rPr>
        <w:t>6.1</w:t>
      </w:r>
      <w:r>
        <w:rPr>
          <w:rFonts w:hint="default" w:ascii="Times New Roman" w:hAnsi="Times New Roman" w:eastAsia="宋体" w:cs="Times New Roman"/>
          <w:bCs/>
          <w:kern w:val="21"/>
          <w:lang w:val="en-US" w:eastAsia="zh-CN"/>
        </w:rPr>
        <w:t xml:space="preserve">  </w:t>
      </w:r>
      <w:r>
        <w:rPr>
          <w:rFonts w:hint="default" w:ascii="Times New Roman" w:hAnsi="Times New Roman" w:eastAsia="宋体" w:cs="Times New Roman"/>
          <w:bCs w:val="0"/>
          <w:kern w:val="21"/>
        </w:rPr>
        <w:t>一般</w:t>
      </w:r>
      <w:r>
        <w:rPr>
          <w:rFonts w:hint="default" w:ascii="Times New Roman" w:hAnsi="Times New Roman" w:eastAsia="宋体" w:cs="Times New Roman"/>
          <w:bCs w:val="0"/>
          <w:kern w:val="21"/>
          <w:lang w:val="en-US" w:eastAsia="zh-CN"/>
        </w:rPr>
        <w:t>要求</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_Toc2706 \h </w:instrText>
      </w:r>
      <w:r>
        <w:rPr>
          <w:rFonts w:hint="default" w:ascii="Times New Roman" w:hAnsi="Times New Roman" w:eastAsia="宋体" w:cs="Times New Roman"/>
        </w:rPr>
        <w:fldChar w:fldCharType="separate"/>
      </w:r>
      <w:r>
        <w:rPr>
          <w:rFonts w:hint="default" w:ascii="Times New Roman" w:hAnsi="Times New Roman" w:eastAsia="宋体" w:cs="Times New Roman"/>
        </w:rPr>
        <w:t>5</w:t>
      </w:r>
      <w:r>
        <w:rPr>
          <w:rFonts w:hint="default" w:ascii="Times New Roman" w:hAnsi="Times New Roman" w:eastAsia="宋体" w:cs="Times New Roman"/>
        </w:rPr>
        <w:fldChar w:fldCharType="end"/>
      </w:r>
    </w:p>
    <w:p w14:paraId="545A2009">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rPr>
        <w:t xml:space="preserve">6.2 </w:t>
      </w:r>
      <w:r>
        <w:rPr>
          <w:rFonts w:hint="default" w:ascii="Times New Roman" w:hAnsi="Times New Roman" w:eastAsia="宋体" w:cs="Times New Roman"/>
          <w:bCs/>
          <w:kern w:val="21"/>
          <w:lang w:val="en-US" w:eastAsia="zh-CN"/>
        </w:rPr>
        <w:t xml:space="preserve"> </w:t>
      </w:r>
      <w:r>
        <w:rPr>
          <w:rFonts w:hint="default" w:ascii="Times New Roman" w:hAnsi="Times New Roman" w:eastAsia="宋体" w:cs="Times New Roman"/>
          <w:bCs w:val="0"/>
          <w:kern w:val="21"/>
        </w:rPr>
        <w:t>卫星数据源选择</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_Toc18173 \h </w:instrText>
      </w:r>
      <w:r>
        <w:rPr>
          <w:rFonts w:hint="default" w:ascii="Times New Roman" w:hAnsi="Times New Roman" w:eastAsia="宋体" w:cs="Times New Roman"/>
        </w:rPr>
        <w:fldChar w:fldCharType="separate"/>
      </w:r>
      <w:r>
        <w:rPr>
          <w:rFonts w:hint="default" w:ascii="Times New Roman" w:hAnsi="Times New Roman" w:eastAsia="宋体" w:cs="Times New Roman"/>
        </w:rPr>
        <w:t>5</w:t>
      </w:r>
      <w:r>
        <w:rPr>
          <w:rFonts w:hint="default" w:ascii="Times New Roman" w:hAnsi="Times New Roman" w:eastAsia="宋体" w:cs="Times New Roman"/>
        </w:rPr>
        <w:fldChar w:fldCharType="end"/>
      </w:r>
    </w:p>
    <w:p w14:paraId="313E06AB">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rPr>
        <w:t xml:space="preserve">6.3 </w:t>
      </w:r>
      <w:r>
        <w:rPr>
          <w:rFonts w:hint="default" w:ascii="Times New Roman" w:hAnsi="Times New Roman" w:eastAsia="宋体" w:cs="Times New Roman"/>
          <w:bCs/>
          <w:kern w:val="21"/>
          <w:lang w:val="en-US" w:eastAsia="zh-CN"/>
        </w:rPr>
        <w:t xml:space="preserve"> </w:t>
      </w:r>
      <w:r>
        <w:rPr>
          <w:rFonts w:hint="default" w:ascii="Times New Roman" w:hAnsi="Times New Roman" w:eastAsia="宋体" w:cs="Times New Roman"/>
          <w:bCs w:val="0"/>
          <w:kern w:val="21"/>
        </w:rPr>
        <w:t>监测内容与要求</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_Toc22661 \h </w:instrText>
      </w:r>
      <w:r>
        <w:rPr>
          <w:rFonts w:hint="default" w:ascii="Times New Roman" w:hAnsi="Times New Roman" w:eastAsia="宋体" w:cs="Times New Roman"/>
        </w:rPr>
        <w:fldChar w:fldCharType="separate"/>
      </w:r>
      <w:r>
        <w:rPr>
          <w:rFonts w:hint="default" w:ascii="Times New Roman" w:hAnsi="Times New Roman" w:eastAsia="宋体" w:cs="Times New Roman"/>
        </w:rPr>
        <w:t>6</w:t>
      </w:r>
      <w:r>
        <w:rPr>
          <w:rFonts w:hint="default" w:ascii="Times New Roman" w:hAnsi="Times New Roman" w:eastAsia="宋体" w:cs="Times New Roman"/>
        </w:rPr>
        <w:fldChar w:fldCharType="end"/>
      </w:r>
    </w:p>
    <w:p w14:paraId="574993ED">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rPr>
        <w:t xml:space="preserve">6.4 </w:t>
      </w:r>
      <w:r>
        <w:rPr>
          <w:rFonts w:hint="default" w:ascii="Times New Roman" w:hAnsi="Times New Roman" w:eastAsia="宋体" w:cs="Times New Roman"/>
          <w:bCs/>
          <w:kern w:val="21"/>
          <w:lang w:val="en-US" w:eastAsia="zh-CN"/>
        </w:rPr>
        <w:t xml:space="preserve"> </w:t>
      </w:r>
      <w:r>
        <w:rPr>
          <w:rFonts w:hint="default" w:ascii="Times New Roman" w:hAnsi="Times New Roman" w:eastAsia="宋体" w:cs="Times New Roman"/>
          <w:bCs w:val="0"/>
          <w:kern w:val="21"/>
        </w:rPr>
        <w:t>技术处理要求</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_Toc28550 \h </w:instrText>
      </w:r>
      <w:r>
        <w:rPr>
          <w:rFonts w:hint="default" w:ascii="Times New Roman" w:hAnsi="Times New Roman" w:eastAsia="宋体" w:cs="Times New Roman"/>
        </w:rPr>
        <w:fldChar w:fldCharType="separate"/>
      </w:r>
      <w:r>
        <w:rPr>
          <w:rFonts w:hint="default" w:ascii="Times New Roman" w:hAnsi="Times New Roman" w:eastAsia="宋体" w:cs="Times New Roman"/>
        </w:rPr>
        <w:t>6</w:t>
      </w:r>
      <w:r>
        <w:rPr>
          <w:rFonts w:hint="default" w:ascii="Times New Roman" w:hAnsi="Times New Roman" w:eastAsia="宋体" w:cs="Times New Roman"/>
        </w:rPr>
        <w:fldChar w:fldCharType="end"/>
      </w:r>
    </w:p>
    <w:p w14:paraId="40376C3E">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rPr>
        <w:t xml:space="preserve">6.5 </w:t>
      </w:r>
      <w:r>
        <w:rPr>
          <w:rFonts w:hint="default" w:ascii="Times New Roman" w:hAnsi="Times New Roman" w:eastAsia="宋体" w:cs="Times New Roman"/>
          <w:bCs/>
          <w:kern w:val="21"/>
          <w:lang w:val="en-US" w:eastAsia="zh-CN"/>
        </w:rPr>
        <w:t xml:space="preserve"> </w:t>
      </w:r>
      <w:r>
        <w:rPr>
          <w:rFonts w:hint="default" w:ascii="Times New Roman" w:hAnsi="Times New Roman" w:eastAsia="宋体" w:cs="Times New Roman"/>
          <w:bCs w:val="0"/>
          <w:kern w:val="21"/>
        </w:rPr>
        <w:t>数据管理与共享</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_Toc10214 \h </w:instrText>
      </w:r>
      <w:r>
        <w:rPr>
          <w:rFonts w:hint="default" w:ascii="Times New Roman" w:hAnsi="Times New Roman" w:eastAsia="宋体" w:cs="Times New Roman"/>
        </w:rPr>
        <w:fldChar w:fldCharType="separate"/>
      </w:r>
      <w:r>
        <w:rPr>
          <w:rFonts w:hint="default" w:ascii="Times New Roman" w:hAnsi="Times New Roman" w:eastAsia="宋体" w:cs="Times New Roman"/>
        </w:rPr>
        <w:t>6</w:t>
      </w:r>
      <w:r>
        <w:rPr>
          <w:rFonts w:hint="default" w:ascii="Times New Roman" w:hAnsi="Times New Roman" w:eastAsia="宋体" w:cs="Times New Roman"/>
        </w:rPr>
        <w:fldChar w:fldCharType="end"/>
      </w:r>
    </w:p>
    <w:p w14:paraId="42B49BF5">
      <w:pPr>
        <w:pStyle w:val="21"/>
        <w:tabs>
          <w:tab w:val="right" w:leader="dot" w:pos="9354"/>
        </w:tabs>
        <w:rPr>
          <w:rFonts w:hint="default" w:ascii="Times New Roman" w:hAnsi="Times New Roman" w:eastAsia="宋体" w:cs="Times New Roman"/>
        </w:rPr>
      </w:pPr>
      <w:r>
        <w:rPr>
          <w:rFonts w:hint="default" w:ascii="Times New Roman" w:hAnsi="Times New Roman" w:eastAsia="宋体" w:cs="Times New Roman"/>
          <w:b/>
          <w:bCs/>
          <w:kern w:val="44"/>
          <w:lang w:val="en-US" w:eastAsia="zh-CN"/>
        </w:rPr>
        <w:t>7 施工数字化管理</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_Toc9746 \h </w:instrText>
      </w:r>
      <w:r>
        <w:rPr>
          <w:rFonts w:hint="default" w:ascii="Times New Roman" w:hAnsi="Times New Roman" w:eastAsia="宋体" w:cs="Times New Roman"/>
        </w:rPr>
        <w:fldChar w:fldCharType="separate"/>
      </w:r>
      <w:r>
        <w:rPr>
          <w:rFonts w:hint="default" w:ascii="Times New Roman" w:hAnsi="Times New Roman" w:eastAsia="宋体" w:cs="Times New Roman"/>
        </w:rPr>
        <w:t>7</w:t>
      </w:r>
      <w:r>
        <w:rPr>
          <w:rFonts w:hint="default" w:ascii="Times New Roman" w:hAnsi="Times New Roman" w:eastAsia="宋体" w:cs="Times New Roman"/>
        </w:rPr>
        <w:fldChar w:fldCharType="end"/>
      </w:r>
    </w:p>
    <w:p w14:paraId="04F6D639">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rPr>
        <w:t>7.1</w:t>
      </w:r>
      <w:r>
        <w:rPr>
          <w:rFonts w:hint="default" w:ascii="Times New Roman" w:hAnsi="Times New Roman" w:eastAsia="宋体" w:cs="Times New Roman"/>
          <w:bCs/>
          <w:kern w:val="21"/>
          <w:lang w:val="en-US" w:eastAsia="zh-CN"/>
        </w:rPr>
        <w:t xml:space="preserve">  </w:t>
      </w:r>
      <w:r>
        <w:rPr>
          <w:rFonts w:hint="default" w:ascii="Times New Roman" w:hAnsi="Times New Roman" w:eastAsia="宋体" w:cs="Times New Roman"/>
          <w:bCs w:val="0"/>
          <w:kern w:val="21"/>
        </w:rPr>
        <w:t>一般规定</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_Toc5976 \h </w:instrText>
      </w:r>
      <w:r>
        <w:rPr>
          <w:rFonts w:hint="default" w:ascii="Times New Roman" w:hAnsi="Times New Roman" w:eastAsia="宋体" w:cs="Times New Roman"/>
        </w:rPr>
        <w:fldChar w:fldCharType="separate"/>
      </w:r>
      <w:r>
        <w:rPr>
          <w:rFonts w:hint="default" w:ascii="Times New Roman" w:hAnsi="Times New Roman" w:eastAsia="宋体" w:cs="Times New Roman"/>
        </w:rPr>
        <w:t>7</w:t>
      </w:r>
      <w:r>
        <w:rPr>
          <w:rFonts w:hint="default" w:ascii="Times New Roman" w:hAnsi="Times New Roman" w:eastAsia="宋体" w:cs="Times New Roman"/>
        </w:rPr>
        <w:fldChar w:fldCharType="end"/>
      </w:r>
    </w:p>
    <w:p w14:paraId="52923568">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rPr>
        <w:t xml:space="preserve">7.2 </w:t>
      </w:r>
      <w:r>
        <w:rPr>
          <w:rFonts w:hint="default" w:ascii="Times New Roman" w:hAnsi="Times New Roman" w:eastAsia="宋体" w:cs="Times New Roman"/>
          <w:bCs/>
          <w:kern w:val="21"/>
          <w:lang w:val="en-US" w:eastAsia="zh-CN"/>
        </w:rPr>
        <w:t xml:space="preserve"> </w:t>
      </w:r>
      <w:r>
        <w:rPr>
          <w:rFonts w:hint="default" w:ascii="Times New Roman" w:hAnsi="Times New Roman" w:eastAsia="宋体" w:cs="Times New Roman"/>
          <w:bCs w:val="0"/>
          <w:kern w:val="21"/>
        </w:rPr>
        <w:t>飞行平台与传感器配置</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_Toc6936 \h </w:instrText>
      </w:r>
      <w:r>
        <w:rPr>
          <w:rFonts w:hint="default" w:ascii="Times New Roman" w:hAnsi="Times New Roman" w:eastAsia="宋体" w:cs="Times New Roman"/>
        </w:rPr>
        <w:fldChar w:fldCharType="separate"/>
      </w:r>
      <w:r>
        <w:rPr>
          <w:rFonts w:hint="default" w:ascii="Times New Roman" w:hAnsi="Times New Roman" w:eastAsia="宋体" w:cs="Times New Roman"/>
        </w:rPr>
        <w:t>7</w:t>
      </w:r>
      <w:r>
        <w:rPr>
          <w:rFonts w:hint="default" w:ascii="Times New Roman" w:hAnsi="Times New Roman" w:eastAsia="宋体" w:cs="Times New Roman"/>
        </w:rPr>
        <w:fldChar w:fldCharType="end"/>
      </w:r>
    </w:p>
    <w:p w14:paraId="7F56C738">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rPr>
        <w:t xml:space="preserve">7.3 </w:t>
      </w:r>
      <w:r>
        <w:rPr>
          <w:rFonts w:hint="default" w:ascii="Times New Roman" w:hAnsi="Times New Roman" w:eastAsia="宋体" w:cs="Times New Roman"/>
          <w:bCs/>
          <w:kern w:val="21"/>
          <w:lang w:val="en-US" w:eastAsia="zh-CN"/>
        </w:rPr>
        <w:t xml:space="preserve"> </w:t>
      </w:r>
      <w:r>
        <w:rPr>
          <w:rFonts w:hint="default" w:ascii="Times New Roman" w:hAnsi="Times New Roman" w:eastAsia="宋体" w:cs="Times New Roman"/>
          <w:bCs w:val="0"/>
          <w:kern w:val="21"/>
        </w:rPr>
        <w:t>作业 planning与实施</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_Toc30800 \h </w:instrText>
      </w:r>
      <w:r>
        <w:rPr>
          <w:rFonts w:hint="default" w:ascii="Times New Roman" w:hAnsi="Times New Roman" w:eastAsia="宋体" w:cs="Times New Roman"/>
        </w:rPr>
        <w:fldChar w:fldCharType="separate"/>
      </w:r>
      <w:r>
        <w:rPr>
          <w:rFonts w:hint="default" w:ascii="Times New Roman" w:hAnsi="Times New Roman" w:eastAsia="宋体" w:cs="Times New Roman"/>
        </w:rPr>
        <w:t>7</w:t>
      </w:r>
      <w:r>
        <w:rPr>
          <w:rFonts w:hint="default" w:ascii="Times New Roman" w:hAnsi="Times New Roman" w:eastAsia="宋体" w:cs="Times New Roman"/>
        </w:rPr>
        <w:fldChar w:fldCharType="end"/>
      </w:r>
    </w:p>
    <w:p w14:paraId="126FEE9D">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rPr>
        <w:t xml:space="preserve">7.4 </w:t>
      </w:r>
      <w:r>
        <w:rPr>
          <w:rFonts w:hint="default" w:ascii="Times New Roman" w:hAnsi="Times New Roman" w:eastAsia="宋体" w:cs="Times New Roman"/>
          <w:bCs/>
          <w:kern w:val="21"/>
          <w:lang w:val="en-US" w:eastAsia="zh-CN"/>
        </w:rPr>
        <w:t xml:space="preserve"> </w:t>
      </w:r>
      <w:r>
        <w:rPr>
          <w:rFonts w:hint="default" w:ascii="Times New Roman" w:hAnsi="Times New Roman" w:eastAsia="宋体" w:cs="Times New Roman"/>
          <w:bCs w:val="0"/>
          <w:kern w:val="21"/>
        </w:rPr>
        <w:t>监测内容与要求</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_Toc6572 \h </w:instrText>
      </w:r>
      <w:r>
        <w:rPr>
          <w:rFonts w:hint="default" w:ascii="Times New Roman" w:hAnsi="Times New Roman" w:eastAsia="宋体" w:cs="Times New Roman"/>
        </w:rPr>
        <w:fldChar w:fldCharType="separate"/>
      </w:r>
      <w:r>
        <w:rPr>
          <w:rFonts w:hint="default" w:ascii="Times New Roman" w:hAnsi="Times New Roman" w:eastAsia="宋体" w:cs="Times New Roman"/>
        </w:rPr>
        <w:t>8</w:t>
      </w:r>
      <w:r>
        <w:rPr>
          <w:rFonts w:hint="default" w:ascii="Times New Roman" w:hAnsi="Times New Roman" w:eastAsia="宋体" w:cs="Times New Roman"/>
        </w:rPr>
        <w:fldChar w:fldCharType="end"/>
      </w:r>
    </w:p>
    <w:p w14:paraId="49527A94">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rPr>
        <w:t xml:space="preserve">7.5 </w:t>
      </w:r>
      <w:r>
        <w:rPr>
          <w:rFonts w:hint="default" w:ascii="Times New Roman" w:hAnsi="Times New Roman" w:eastAsia="宋体" w:cs="Times New Roman"/>
          <w:bCs/>
          <w:kern w:val="21"/>
          <w:lang w:val="en-US" w:eastAsia="zh-CN"/>
        </w:rPr>
        <w:t xml:space="preserve"> </w:t>
      </w:r>
      <w:r>
        <w:rPr>
          <w:rFonts w:hint="default" w:ascii="Times New Roman" w:hAnsi="Times New Roman" w:eastAsia="宋体" w:cs="Times New Roman"/>
          <w:bCs w:val="0"/>
          <w:kern w:val="21"/>
        </w:rPr>
        <w:t>数据处理与产品生成</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_Toc29506 \h </w:instrText>
      </w:r>
      <w:r>
        <w:rPr>
          <w:rFonts w:hint="default" w:ascii="Times New Roman" w:hAnsi="Times New Roman" w:eastAsia="宋体" w:cs="Times New Roman"/>
        </w:rPr>
        <w:fldChar w:fldCharType="separate"/>
      </w:r>
      <w:r>
        <w:rPr>
          <w:rFonts w:hint="default" w:ascii="Times New Roman" w:hAnsi="Times New Roman" w:eastAsia="宋体" w:cs="Times New Roman"/>
        </w:rPr>
        <w:t>8</w:t>
      </w:r>
      <w:r>
        <w:rPr>
          <w:rFonts w:hint="default" w:ascii="Times New Roman" w:hAnsi="Times New Roman" w:eastAsia="宋体" w:cs="Times New Roman"/>
        </w:rPr>
        <w:fldChar w:fldCharType="end"/>
      </w:r>
    </w:p>
    <w:p w14:paraId="043D4B6D">
      <w:pPr>
        <w:pStyle w:val="21"/>
        <w:tabs>
          <w:tab w:val="right" w:leader="dot" w:pos="9354"/>
        </w:tabs>
        <w:rPr>
          <w:rFonts w:hint="default" w:ascii="Times New Roman" w:hAnsi="Times New Roman" w:eastAsia="宋体" w:cs="Times New Roman"/>
        </w:rPr>
      </w:pPr>
      <w:r>
        <w:rPr>
          <w:rFonts w:hint="default" w:ascii="Times New Roman" w:hAnsi="Times New Roman" w:eastAsia="宋体" w:cs="Times New Roman"/>
          <w:b/>
          <w:bCs/>
          <w:kern w:val="44"/>
          <w:lang w:val="en-US" w:eastAsia="zh-CN"/>
        </w:rPr>
        <w:t>8 地基监测</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_Toc13173 \h </w:instrText>
      </w:r>
      <w:r>
        <w:rPr>
          <w:rFonts w:hint="default" w:ascii="Times New Roman" w:hAnsi="Times New Roman" w:eastAsia="宋体" w:cs="Times New Roman"/>
        </w:rPr>
        <w:fldChar w:fldCharType="separate"/>
      </w:r>
      <w:r>
        <w:rPr>
          <w:rFonts w:hint="default" w:ascii="Times New Roman" w:hAnsi="Times New Roman" w:eastAsia="宋体" w:cs="Times New Roman"/>
        </w:rPr>
        <w:t>9</w:t>
      </w:r>
      <w:r>
        <w:rPr>
          <w:rFonts w:hint="default" w:ascii="Times New Roman" w:hAnsi="Times New Roman" w:eastAsia="宋体" w:cs="Times New Roman"/>
        </w:rPr>
        <w:fldChar w:fldCharType="end"/>
      </w:r>
    </w:p>
    <w:p w14:paraId="0102F605">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rPr>
        <w:t>8.1</w:t>
      </w:r>
      <w:r>
        <w:rPr>
          <w:rFonts w:hint="default" w:ascii="Times New Roman" w:hAnsi="Times New Roman" w:eastAsia="宋体" w:cs="Times New Roman"/>
          <w:bCs/>
          <w:kern w:val="21"/>
          <w:lang w:val="en-US" w:eastAsia="zh-CN"/>
        </w:rPr>
        <w:t xml:space="preserve">  </w:t>
      </w:r>
      <w:r>
        <w:rPr>
          <w:rFonts w:hint="default" w:ascii="Times New Roman" w:hAnsi="Times New Roman" w:eastAsia="宋体" w:cs="Times New Roman"/>
          <w:bCs w:val="0"/>
          <w:kern w:val="21"/>
        </w:rPr>
        <w:t>一般规定</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_Toc14891 \h </w:instrText>
      </w:r>
      <w:r>
        <w:rPr>
          <w:rFonts w:hint="default" w:ascii="Times New Roman" w:hAnsi="Times New Roman" w:eastAsia="宋体" w:cs="Times New Roman"/>
        </w:rPr>
        <w:fldChar w:fldCharType="separate"/>
      </w:r>
      <w:r>
        <w:rPr>
          <w:rFonts w:hint="default" w:ascii="Times New Roman" w:hAnsi="Times New Roman" w:eastAsia="宋体" w:cs="Times New Roman"/>
        </w:rPr>
        <w:t>9</w:t>
      </w:r>
      <w:r>
        <w:rPr>
          <w:rFonts w:hint="default" w:ascii="Times New Roman" w:hAnsi="Times New Roman" w:eastAsia="宋体" w:cs="Times New Roman"/>
        </w:rPr>
        <w:fldChar w:fldCharType="end"/>
      </w:r>
    </w:p>
    <w:p w14:paraId="3DD690AC">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rPr>
        <w:t xml:space="preserve">8.2 </w:t>
      </w:r>
      <w:r>
        <w:rPr>
          <w:rFonts w:hint="default" w:ascii="Times New Roman" w:hAnsi="Times New Roman" w:eastAsia="宋体" w:cs="Times New Roman"/>
          <w:bCs/>
          <w:kern w:val="21"/>
          <w:lang w:val="en-US" w:eastAsia="zh-CN"/>
        </w:rPr>
        <w:t xml:space="preserve"> </w:t>
      </w:r>
      <w:r>
        <w:rPr>
          <w:rFonts w:hint="default" w:ascii="Times New Roman" w:hAnsi="Times New Roman" w:eastAsia="宋体" w:cs="Times New Roman"/>
          <w:bCs w:val="0"/>
          <w:kern w:val="21"/>
        </w:rPr>
        <w:t>监测站网布设</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_Toc1421 \h </w:instrText>
      </w:r>
      <w:r>
        <w:rPr>
          <w:rFonts w:hint="default" w:ascii="Times New Roman" w:hAnsi="Times New Roman" w:eastAsia="宋体" w:cs="Times New Roman"/>
        </w:rPr>
        <w:fldChar w:fldCharType="separate"/>
      </w:r>
      <w:r>
        <w:rPr>
          <w:rFonts w:hint="default" w:ascii="Times New Roman" w:hAnsi="Times New Roman" w:eastAsia="宋体" w:cs="Times New Roman"/>
        </w:rPr>
        <w:t>9</w:t>
      </w:r>
      <w:r>
        <w:rPr>
          <w:rFonts w:hint="default" w:ascii="Times New Roman" w:hAnsi="Times New Roman" w:eastAsia="宋体" w:cs="Times New Roman"/>
        </w:rPr>
        <w:fldChar w:fldCharType="end"/>
      </w:r>
    </w:p>
    <w:p w14:paraId="42D658F8">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rPr>
        <w:t xml:space="preserve">8.3 </w:t>
      </w:r>
      <w:r>
        <w:rPr>
          <w:rFonts w:hint="default" w:ascii="Times New Roman" w:hAnsi="Times New Roman" w:eastAsia="宋体" w:cs="Times New Roman"/>
          <w:bCs/>
          <w:kern w:val="21"/>
          <w:lang w:val="en-US" w:eastAsia="zh-CN"/>
        </w:rPr>
        <w:t xml:space="preserve"> </w:t>
      </w:r>
      <w:r>
        <w:rPr>
          <w:rFonts w:hint="default" w:ascii="Times New Roman" w:hAnsi="Times New Roman" w:eastAsia="宋体" w:cs="Times New Roman"/>
          <w:bCs w:val="0"/>
          <w:kern w:val="21"/>
        </w:rPr>
        <w:t>监测设备与安装</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_Toc9353 \h </w:instrText>
      </w:r>
      <w:r>
        <w:rPr>
          <w:rFonts w:hint="default" w:ascii="Times New Roman" w:hAnsi="Times New Roman" w:eastAsia="宋体" w:cs="Times New Roman"/>
        </w:rPr>
        <w:fldChar w:fldCharType="separate"/>
      </w:r>
      <w:r>
        <w:rPr>
          <w:rFonts w:hint="default" w:ascii="Times New Roman" w:hAnsi="Times New Roman" w:eastAsia="宋体" w:cs="Times New Roman"/>
        </w:rPr>
        <w:t>9</w:t>
      </w:r>
      <w:r>
        <w:rPr>
          <w:rFonts w:hint="default" w:ascii="Times New Roman" w:hAnsi="Times New Roman" w:eastAsia="宋体" w:cs="Times New Roman"/>
        </w:rPr>
        <w:fldChar w:fldCharType="end"/>
      </w:r>
    </w:p>
    <w:p w14:paraId="19560707">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rPr>
        <w:t xml:space="preserve">8.4 </w:t>
      </w:r>
      <w:r>
        <w:rPr>
          <w:rFonts w:hint="default" w:ascii="Times New Roman" w:hAnsi="Times New Roman" w:eastAsia="宋体" w:cs="Times New Roman"/>
          <w:bCs/>
          <w:kern w:val="21"/>
          <w:lang w:val="en-US" w:eastAsia="zh-CN"/>
        </w:rPr>
        <w:t xml:space="preserve"> </w:t>
      </w:r>
      <w:r>
        <w:rPr>
          <w:rFonts w:hint="default" w:ascii="Times New Roman" w:hAnsi="Times New Roman" w:eastAsia="宋体" w:cs="Times New Roman"/>
          <w:bCs w:val="0"/>
          <w:kern w:val="21"/>
        </w:rPr>
        <w:t>数据采集与传输</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_Toc9499 \h </w:instrText>
      </w:r>
      <w:r>
        <w:rPr>
          <w:rFonts w:hint="default" w:ascii="Times New Roman" w:hAnsi="Times New Roman" w:eastAsia="宋体" w:cs="Times New Roman"/>
        </w:rPr>
        <w:fldChar w:fldCharType="separate"/>
      </w:r>
      <w:r>
        <w:rPr>
          <w:rFonts w:hint="default" w:ascii="Times New Roman" w:hAnsi="Times New Roman" w:eastAsia="宋体" w:cs="Times New Roman"/>
        </w:rPr>
        <w:t>10</w:t>
      </w:r>
      <w:r>
        <w:rPr>
          <w:rFonts w:hint="default" w:ascii="Times New Roman" w:hAnsi="Times New Roman" w:eastAsia="宋体" w:cs="Times New Roman"/>
        </w:rPr>
        <w:fldChar w:fldCharType="end"/>
      </w:r>
    </w:p>
    <w:p w14:paraId="6CB1A951">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rPr>
        <w:t xml:space="preserve">8.5 </w:t>
      </w:r>
      <w:r>
        <w:rPr>
          <w:rFonts w:hint="default" w:ascii="Times New Roman" w:hAnsi="Times New Roman" w:eastAsia="宋体" w:cs="Times New Roman"/>
          <w:bCs/>
          <w:kern w:val="21"/>
          <w:lang w:val="en-US" w:eastAsia="zh-CN"/>
        </w:rPr>
        <w:t xml:space="preserve"> </w:t>
      </w:r>
      <w:r>
        <w:rPr>
          <w:rFonts w:hint="default" w:ascii="Times New Roman" w:hAnsi="Times New Roman" w:eastAsia="宋体" w:cs="Times New Roman"/>
          <w:bCs w:val="0"/>
          <w:kern w:val="21"/>
        </w:rPr>
        <w:t>校准与维护</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_Toc10243 \h </w:instrText>
      </w:r>
      <w:r>
        <w:rPr>
          <w:rFonts w:hint="default" w:ascii="Times New Roman" w:hAnsi="Times New Roman" w:eastAsia="宋体" w:cs="Times New Roman"/>
        </w:rPr>
        <w:fldChar w:fldCharType="separate"/>
      </w:r>
      <w:r>
        <w:rPr>
          <w:rFonts w:hint="default" w:ascii="Times New Roman" w:hAnsi="Times New Roman" w:eastAsia="宋体" w:cs="Times New Roman"/>
        </w:rPr>
        <w:t>11</w:t>
      </w:r>
      <w:r>
        <w:rPr>
          <w:rFonts w:hint="default" w:ascii="Times New Roman" w:hAnsi="Times New Roman" w:eastAsia="宋体" w:cs="Times New Roman"/>
        </w:rPr>
        <w:fldChar w:fldCharType="end"/>
      </w:r>
    </w:p>
    <w:p w14:paraId="4A99D3AC">
      <w:pPr>
        <w:pStyle w:val="21"/>
        <w:tabs>
          <w:tab w:val="right" w:leader="dot" w:pos="9354"/>
        </w:tabs>
        <w:rPr>
          <w:rFonts w:hint="default" w:ascii="Times New Roman" w:hAnsi="Times New Roman" w:eastAsia="宋体" w:cs="Times New Roman"/>
        </w:rPr>
      </w:pPr>
      <w:r>
        <w:rPr>
          <w:rFonts w:hint="default" w:ascii="Times New Roman" w:hAnsi="Times New Roman" w:eastAsia="宋体" w:cs="Times New Roman"/>
          <w:b/>
          <w:bCs/>
          <w:kern w:val="44"/>
          <w:lang w:val="en-US" w:eastAsia="zh-CN"/>
        </w:rPr>
        <w:t>9 数据、模型与孪生应用</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_Toc31198 \h </w:instrText>
      </w:r>
      <w:r>
        <w:rPr>
          <w:rFonts w:hint="default" w:ascii="Times New Roman" w:hAnsi="Times New Roman" w:eastAsia="宋体" w:cs="Times New Roman"/>
        </w:rPr>
        <w:fldChar w:fldCharType="separate"/>
      </w:r>
      <w:r>
        <w:rPr>
          <w:rFonts w:hint="default" w:ascii="Times New Roman" w:hAnsi="Times New Roman" w:eastAsia="宋体" w:cs="Times New Roman"/>
        </w:rPr>
        <w:t>11</w:t>
      </w:r>
      <w:r>
        <w:rPr>
          <w:rFonts w:hint="default" w:ascii="Times New Roman" w:hAnsi="Times New Roman" w:eastAsia="宋体" w:cs="Times New Roman"/>
        </w:rPr>
        <w:fldChar w:fldCharType="end"/>
      </w:r>
    </w:p>
    <w:p w14:paraId="72648D45">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val="0"/>
          <w:kern w:val="21"/>
        </w:rPr>
        <w:t>9.1</w:t>
      </w:r>
      <w:r>
        <w:rPr>
          <w:rFonts w:hint="default" w:ascii="Times New Roman" w:hAnsi="Times New Roman" w:eastAsia="宋体" w:cs="Times New Roman"/>
          <w:bCs/>
          <w:kern w:val="21"/>
          <w:lang w:val="en-US" w:eastAsia="zh-CN"/>
        </w:rPr>
        <w:t xml:space="preserve">  </w:t>
      </w:r>
      <w:r>
        <w:rPr>
          <w:rFonts w:hint="default" w:ascii="Times New Roman" w:hAnsi="Times New Roman" w:eastAsia="宋体" w:cs="Times New Roman"/>
          <w:bCs/>
          <w:kern w:val="21"/>
        </w:rPr>
        <w:t>一般规定</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_Toc31560 \h </w:instrText>
      </w:r>
      <w:r>
        <w:rPr>
          <w:rFonts w:hint="default" w:ascii="Times New Roman" w:hAnsi="Times New Roman" w:eastAsia="宋体" w:cs="Times New Roman"/>
        </w:rPr>
        <w:fldChar w:fldCharType="separate"/>
      </w:r>
      <w:r>
        <w:rPr>
          <w:rFonts w:hint="default" w:ascii="Times New Roman" w:hAnsi="Times New Roman" w:eastAsia="宋体" w:cs="Times New Roman"/>
        </w:rPr>
        <w:t>11</w:t>
      </w:r>
      <w:r>
        <w:rPr>
          <w:rFonts w:hint="default" w:ascii="Times New Roman" w:hAnsi="Times New Roman" w:eastAsia="宋体" w:cs="Times New Roman"/>
        </w:rPr>
        <w:fldChar w:fldCharType="end"/>
      </w:r>
    </w:p>
    <w:p w14:paraId="6A0BA464">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val="0"/>
          <w:kern w:val="21"/>
        </w:rPr>
        <w:t xml:space="preserve">9.2 </w:t>
      </w:r>
      <w:r>
        <w:rPr>
          <w:rFonts w:hint="default" w:ascii="Times New Roman" w:hAnsi="Times New Roman" w:eastAsia="宋体" w:cs="Times New Roman"/>
          <w:bCs w:val="0"/>
          <w:kern w:val="21"/>
          <w:lang w:val="en-US" w:eastAsia="zh-CN"/>
        </w:rPr>
        <w:t xml:space="preserve"> </w:t>
      </w:r>
      <w:r>
        <w:rPr>
          <w:rFonts w:hint="default" w:ascii="Times New Roman" w:hAnsi="Times New Roman" w:eastAsia="宋体" w:cs="Times New Roman"/>
          <w:bCs/>
          <w:kern w:val="21"/>
        </w:rPr>
        <w:t>数据内容与分类</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_Toc15882 \h </w:instrText>
      </w:r>
      <w:r>
        <w:rPr>
          <w:rFonts w:hint="default" w:ascii="Times New Roman" w:hAnsi="Times New Roman" w:eastAsia="宋体" w:cs="Times New Roman"/>
        </w:rPr>
        <w:fldChar w:fldCharType="separate"/>
      </w:r>
      <w:r>
        <w:rPr>
          <w:rFonts w:hint="default" w:ascii="Times New Roman" w:hAnsi="Times New Roman" w:eastAsia="宋体" w:cs="Times New Roman"/>
        </w:rPr>
        <w:t>11</w:t>
      </w:r>
      <w:r>
        <w:rPr>
          <w:rFonts w:hint="default" w:ascii="Times New Roman" w:hAnsi="Times New Roman" w:eastAsia="宋体" w:cs="Times New Roman"/>
        </w:rPr>
        <w:fldChar w:fldCharType="end"/>
      </w:r>
    </w:p>
    <w:p w14:paraId="141E06AA">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val="0"/>
          <w:kern w:val="21"/>
        </w:rPr>
        <w:t xml:space="preserve">9.3 </w:t>
      </w:r>
      <w:r>
        <w:rPr>
          <w:rFonts w:hint="default" w:ascii="Times New Roman" w:hAnsi="Times New Roman" w:eastAsia="宋体" w:cs="Times New Roman"/>
          <w:bCs w:val="0"/>
          <w:kern w:val="21"/>
          <w:lang w:val="en-US" w:eastAsia="zh-CN"/>
        </w:rPr>
        <w:t xml:space="preserve"> </w:t>
      </w:r>
      <w:r>
        <w:rPr>
          <w:rFonts w:hint="default" w:ascii="Times New Roman" w:hAnsi="Times New Roman" w:eastAsia="宋体" w:cs="Times New Roman"/>
          <w:bCs/>
          <w:kern w:val="21"/>
        </w:rPr>
        <w:t>数据治理与质量控制</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_Toc23792 \h </w:instrText>
      </w:r>
      <w:r>
        <w:rPr>
          <w:rFonts w:hint="default" w:ascii="Times New Roman" w:hAnsi="Times New Roman" w:eastAsia="宋体" w:cs="Times New Roman"/>
        </w:rPr>
        <w:fldChar w:fldCharType="separate"/>
      </w:r>
      <w:r>
        <w:rPr>
          <w:rFonts w:hint="default" w:ascii="Times New Roman" w:hAnsi="Times New Roman" w:eastAsia="宋体" w:cs="Times New Roman"/>
        </w:rPr>
        <w:t>11</w:t>
      </w:r>
      <w:r>
        <w:rPr>
          <w:rFonts w:hint="default" w:ascii="Times New Roman" w:hAnsi="Times New Roman" w:eastAsia="宋体" w:cs="Times New Roman"/>
        </w:rPr>
        <w:fldChar w:fldCharType="end"/>
      </w:r>
    </w:p>
    <w:p w14:paraId="7E43F54A">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val="0"/>
          <w:kern w:val="21"/>
        </w:rPr>
        <w:t xml:space="preserve">9.4 </w:t>
      </w:r>
      <w:r>
        <w:rPr>
          <w:rFonts w:hint="default" w:ascii="Times New Roman" w:hAnsi="Times New Roman" w:eastAsia="宋体" w:cs="Times New Roman"/>
          <w:bCs w:val="0"/>
          <w:kern w:val="21"/>
          <w:lang w:val="en-US" w:eastAsia="zh-CN"/>
        </w:rPr>
        <w:t xml:space="preserve"> </w:t>
      </w:r>
      <w:r>
        <w:rPr>
          <w:rFonts w:hint="default" w:ascii="Times New Roman" w:hAnsi="Times New Roman" w:eastAsia="宋体" w:cs="Times New Roman"/>
          <w:bCs/>
          <w:kern w:val="21"/>
        </w:rPr>
        <w:t>数据融合、挖掘与模型集成</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_Toc22059 \h </w:instrText>
      </w:r>
      <w:r>
        <w:rPr>
          <w:rFonts w:hint="default" w:ascii="Times New Roman" w:hAnsi="Times New Roman" w:eastAsia="宋体" w:cs="Times New Roman"/>
        </w:rPr>
        <w:fldChar w:fldCharType="separate"/>
      </w:r>
      <w:r>
        <w:rPr>
          <w:rFonts w:hint="default" w:ascii="Times New Roman" w:hAnsi="Times New Roman" w:eastAsia="宋体" w:cs="Times New Roman"/>
        </w:rPr>
        <w:t>12</w:t>
      </w:r>
      <w:r>
        <w:rPr>
          <w:rFonts w:hint="default" w:ascii="Times New Roman" w:hAnsi="Times New Roman" w:eastAsia="宋体" w:cs="Times New Roman"/>
        </w:rPr>
        <w:fldChar w:fldCharType="end"/>
      </w:r>
    </w:p>
    <w:p w14:paraId="66BB7204">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val="0"/>
          <w:kern w:val="21"/>
        </w:rPr>
        <w:t xml:space="preserve">9.5 </w:t>
      </w:r>
      <w:r>
        <w:rPr>
          <w:rFonts w:hint="default" w:ascii="Times New Roman" w:hAnsi="Times New Roman" w:eastAsia="宋体" w:cs="Times New Roman"/>
          <w:bCs w:val="0"/>
          <w:kern w:val="21"/>
          <w:lang w:val="en-US" w:eastAsia="zh-CN"/>
        </w:rPr>
        <w:t xml:space="preserve"> </w:t>
      </w:r>
      <w:r>
        <w:rPr>
          <w:rFonts w:hint="default" w:ascii="Times New Roman" w:hAnsi="Times New Roman" w:eastAsia="宋体" w:cs="Times New Roman"/>
          <w:bCs/>
          <w:kern w:val="21"/>
        </w:rPr>
        <w:t>数据服务与</w:t>
      </w:r>
      <w:r>
        <w:rPr>
          <w:rFonts w:hint="default" w:ascii="Times New Roman" w:hAnsi="Times New Roman" w:eastAsia="宋体" w:cs="Times New Roman"/>
          <w:bCs/>
          <w:kern w:val="21"/>
          <w:lang w:eastAsia="zh-CN"/>
        </w:rPr>
        <w:t>孪生</w:t>
      </w:r>
      <w:r>
        <w:rPr>
          <w:rFonts w:hint="default" w:ascii="Times New Roman" w:hAnsi="Times New Roman" w:eastAsia="宋体" w:cs="Times New Roman"/>
          <w:bCs/>
          <w:kern w:val="21"/>
        </w:rPr>
        <w:t>应用</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_Toc1637 \h </w:instrText>
      </w:r>
      <w:r>
        <w:rPr>
          <w:rFonts w:hint="default" w:ascii="Times New Roman" w:hAnsi="Times New Roman" w:eastAsia="宋体" w:cs="Times New Roman"/>
        </w:rPr>
        <w:fldChar w:fldCharType="separate"/>
      </w:r>
      <w:r>
        <w:rPr>
          <w:rFonts w:hint="default" w:ascii="Times New Roman" w:hAnsi="Times New Roman" w:eastAsia="宋体" w:cs="Times New Roman"/>
        </w:rPr>
        <w:t>13</w:t>
      </w:r>
      <w:r>
        <w:rPr>
          <w:rFonts w:hint="default" w:ascii="Times New Roman" w:hAnsi="Times New Roman" w:eastAsia="宋体" w:cs="Times New Roman"/>
        </w:rPr>
        <w:fldChar w:fldCharType="end"/>
      </w:r>
    </w:p>
    <w:p w14:paraId="2A45379F">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val="0"/>
          <w:kern w:val="21"/>
        </w:rPr>
        <w:t>9.</w:t>
      </w:r>
      <w:r>
        <w:rPr>
          <w:rFonts w:hint="default" w:ascii="Times New Roman" w:hAnsi="Times New Roman" w:eastAsia="宋体" w:cs="Times New Roman"/>
          <w:bCs w:val="0"/>
          <w:kern w:val="21"/>
          <w:lang w:val="en-US" w:eastAsia="zh-CN"/>
        </w:rPr>
        <w:t>6</w:t>
      </w:r>
      <w:r>
        <w:rPr>
          <w:rFonts w:hint="default" w:ascii="Times New Roman" w:hAnsi="Times New Roman" w:eastAsia="宋体" w:cs="Times New Roman"/>
          <w:bCs w:val="0"/>
          <w:kern w:val="21"/>
        </w:rPr>
        <w:t xml:space="preserve"> </w:t>
      </w:r>
      <w:r>
        <w:rPr>
          <w:rFonts w:hint="default" w:ascii="Times New Roman" w:hAnsi="Times New Roman" w:eastAsia="宋体" w:cs="Times New Roman"/>
          <w:bCs w:val="0"/>
          <w:kern w:val="21"/>
          <w:lang w:val="en-US" w:eastAsia="zh-CN"/>
        </w:rPr>
        <w:t xml:space="preserve"> </w:t>
      </w:r>
      <w:r>
        <w:rPr>
          <w:rFonts w:hint="default" w:ascii="Times New Roman" w:hAnsi="Times New Roman" w:eastAsia="宋体" w:cs="Times New Roman"/>
          <w:bCs/>
          <w:kern w:val="21"/>
        </w:rPr>
        <w:t>数据共享与交换</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_Toc2273 \h </w:instrText>
      </w:r>
      <w:r>
        <w:rPr>
          <w:rFonts w:hint="default" w:ascii="Times New Roman" w:hAnsi="Times New Roman" w:eastAsia="宋体" w:cs="Times New Roman"/>
        </w:rPr>
        <w:fldChar w:fldCharType="separate"/>
      </w:r>
      <w:r>
        <w:rPr>
          <w:rFonts w:hint="default" w:ascii="Times New Roman" w:hAnsi="Times New Roman" w:eastAsia="宋体" w:cs="Times New Roman"/>
        </w:rPr>
        <w:t>13</w:t>
      </w:r>
      <w:r>
        <w:rPr>
          <w:rFonts w:hint="default" w:ascii="Times New Roman" w:hAnsi="Times New Roman" w:eastAsia="宋体" w:cs="Times New Roman"/>
        </w:rPr>
        <w:fldChar w:fldCharType="end"/>
      </w:r>
    </w:p>
    <w:p w14:paraId="4AC2B535">
      <w:pPr>
        <w:pStyle w:val="21"/>
        <w:tabs>
          <w:tab w:val="right" w:leader="dot" w:pos="9354"/>
        </w:tabs>
        <w:rPr>
          <w:rFonts w:hint="default" w:ascii="Times New Roman" w:hAnsi="Times New Roman" w:eastAsia="宋体" w:cs="Times New Roman"/>
        </w:rPr>
      </w:pPr>
      <w:r>
        <w:rPr>
          <w:rFonts w:hint="default" w:ascii="Times New Roman" w:hAnsi="Times New Roman" w:eastAsia="宋体" w:cs="Times New Roman"/>
          <w:b/>
          <w:bCs/>
          <w:kern w:val="44"/>
          <w:lang w:val="en-US" w:eastAsia="zh-CN"/>
        </w:rPr>
        <w:t>10 系统运维与安全</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_Toc21282 \h </w:instrText>
      </w:r>
      <w:r>
        <w:rPr>
          <w:rFonts w:hint="default" w:ascii="Times New Roman" w:hAnsi="Times New Roman" w:eastAsia="宋体" w:cs="Times New Roman"/>
        </w:rPr>
        <w:fldChar w:fldCharType="separate"/>
      </w:r>
      <w:r>
        <w:rPr>
          <w:rFonts w:hint="default" w:ascii="Times New Roman" w:hAnsi="Times New Roman" w:eastAsia="宋体" w:cs="Times New Roman"/>
        </w:rPr>
        <w:t>13</w:t>
      </w:r>
      <w:r>
        <w:rPr>
          <w:rFonts w:hint="default" w:ascii="Times New Roman" w:hAnsi="Times New Roman" w:eastAsia="宋体" w:cs="Times New Roman"/>
        </w:rPr>
        <w:fldChar w:fldCharType="end"/>
      </w:r>
    </w:p>
    <w:p w14:paraId="3B3B6535">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val="0"/>
          <w:kern w:val="21"/>
        </w:rPr>
        <w:t xml:space="preserve">10.1 </w:t>
      </w:r>
      <w:r>
        <w:rPr>
          <w:rFonts w:hint="default" w:ascii="Times New Roman" w:hAnsi="Times New Roman" w:eastAsia="宋体" w:cs="Times New Roman"/>
          <w:bCs w:val="0"/>
          <w:kern w:val="21"/>
          <w:lang w:val="en-US" w:eastAsia="zh-CN"/>
        </w:rPr>
        <w:t xml:space="preserve"> </w:t>
      </w:r>
      <w:r>
        <w:rPr>
          <w:rFonts w:hint="default" w:ascii="Times New Roman" w:hAnsi="Times New Roman" w:eastAsia="宋体" w:cs="Times New Roman"/>
          <w:bCs/>
          <w:kern w:val="21"/>
        </w:rPr>
        <w:t>一般规定</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_Toc7600 \h </w:instrText>
      </w:r>
      <w:r>
        <w:rPr>
          <w:rFonts w:hint="default" w:ascii="Times New Roman" w:hAnsi="Times New Roman" w:eastAsia="宋体" w:cs="Times New Roman"/>
        </w:rPr>
        <w:fldChar w:fldCharType="separate"/>
      </w:r>
      <w:r>
        <w:rPr>
          <w:rFonts w:hint="default" w:ascii="Times New Roman" w:hAnsi="Times New Roman" w:eastAsia="宋体" w:cs="Times New Roman"/>
        </w:rPr>
        <w:t>13</w:t>
      </w:r>
      <w:r>
        <w:rPr>
          <w:rFonts w:hint="default" w:ascii="Times New Roman" w:hAnsi="Times New Roman" w:eastAsia="宋体" w:cs="Times New Roman"/>
        </w:rPr>
        <w:fldChar w:fldCharType="end"/>
      </w:r>
    </w:p>
    <w:p w14:paraId="3A55B915">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val="0"/>
          <w:kern w:val="21"/>
        </w:rPr>
        <w:t xml:space="preserve">10.2 </w:t>
      </w:r>
      <w:r>
        <w:rPr>
          <w:rFonts w:hint="default" w:ascii="Times New Roman" w:hAnsi="Times New Roman" w:eastAsia="宋体" w:cs="Times New Roman"/>
          <w:bCs w:val="0"/>
          <w:kern w:val="21"/>
          <w:lang w:val="en-US" w:eastAsia="zh-CN"/>
        </w:rPr>
        <w:t xml:space="preserve"> </w:t>
      </w:r>
      <w:r>
        <w:rPr>
          <w:rFonts w:hint="default" w:ascii="Times New Roman" w:hAnsi="Times New Roman" w:eastAsia="宋体" w:cs="Times New Roman"/>
          <w:bCs/>
          <w:kern w:val="21"/>
        </w:rPr>
        <w:t>安全管理要求</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_Toc9924 \h </w:instrText>
      </w:r>
      <w:r>
        <w:rPr>
          <w:rFonts w:hint="default" w:ascii="Times New Roman" w:hAnsi="Times New Roman" w:eastAsia="宋体" w:cs="Times New Roman"/>
        </w:rPr>
        <w:fldChar w:fldCharType="separate"/>
      </w:r>
      <w:r>
        <w:rPr>
          <w:rFonts w:hint="default" w:ascii="Times New Roman" w:hAnsi="Times New Roman" w:eastAsia="宋体" w:cs="Times New Roman"/>
        </w:rPr>
        <w:t>14</w:t>
      </w:r>
      <w:r>
        <w:rPr>
          <w:rFonts w:hint="default" w:ascii="Times New Roman" w:hAnsi="Times New Roman" w:eastAsia="宋体" w:cs="Times New Roman"/>
        </w:rPr>
        <w:fldChar w:fldCharType="end"/>
      </w:r>
    </w:p>
    <w:p w14:paraId="795B95A5">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val="0"/>
          <w:kern w:val="21"/>
        </w:rPr>
        <w:t>10.</w:t>
      </w:r>
      <w:r>
        <w:rPr>
          <w:rFonts w:hint="default" w:ascii="Times New Roman" w:hAnsi="Times New Roman" w:eastAsia="宋体" w:cs="Times New Roman"/>
          <w:bCs w:val="0"/>
          <w:kern w:val="21"/>
          <w:lang w:val="en-US" w:eastAsia="zh-CN"/>
        </w:rPr>
        <w:t>3</w:t>
      </w:r>
      <w:r>
        <w:rPr>
          <w:rFonts w:hint="default" w:ascii="Times New Roman" w:hAnsi="Times New Roman" w:eastAsia="宋体" w:cs="Times New Roman"/>
          <w:bCs w:val="0"/>
          <w:kern w:val="21"/>
        </w:rPr>
        <w:t xml:space="preserve"> </w:t>
      </w:r>
      <w:r>
        <w:rPr>
          <w:rFonts w:hint="default" w:ascii="Times New Roman" w:hAnsi="Times New Roman" w:eastAsia="宋体" w:cs="Times New Roman"/>
          <w:bCs w:val="0"/>
          <w:kern w:val="21"/>
          <w:lang w:val="en-US" w:eastAsia="zh-CN"/>
        </w:rPr>
        <w:t xml:space="preserve"> </w:t>
      </w:r>
      <w:r>
        <w:rPr>
          <w:rFonts w:hint="default" w:ascii="Times New Roman" w:hAnsi="Times New Roman" w:eastAsia="宋体" w:cs="Times New Roman"/>
          <w:bCs/>
          <w:kern w:val="21"/>
        </w:rPr>
        <w:t>运维管理要求</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_Toc25412 \h </w:instrText>
      </w:r>
      <w:r>
        <w:rPr>
          <w:rFonts w:hint="default" w:ascii="Times New Roman" w:hAnsi="Times New Roman" w:eastAsia="宋体" w:cs="Times New Roman"/>
        </w:rPr>
        <w:fldChar w:fldCharType="separate"/>
      </w:r>
      <w:r>
        <w:rPr>
          <w:rFonts w:hint="default" w:ascii="Times New Roman" w:hAnsi="Times New Roman" w:eastAsia="宋体" w:cs="Times New Roman"/>
        </w:rPr>
        <w:t>14</w:t>
      </w:r>
      <w:r>
        <w:rPr>
          <w:rFonts w:hint="default" w:ascii="Times New Roman" w:hAnsi="Times New Roman" w:eastAsia="宋体" w:cs="Times New Roman"/>
        </w:rPr>
        <w:fldChar w:fldCharType="end"/>
      </w:r>
    </w:p>
    <w:p w14:paraId="0D72EC57">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val="0"/>
          <w:kern w:val="21"/>
        </w:rPr>
        <w:t>10.</w:t>
      </w:r>
      <w:r>
        <w:rPr>
          <w:rFonts w:hint="default" w:ascii="Times New Roman" w:hAnsi="Times New Roman" w:eastAsia="宋体" w:cs="Times New Roman"/>
          <w:bCs w:val="0"/>
          <w:kern w:val="21"/>
          <w:lang w:val="en-US" w:eastAsia="zh-CN"/>
        </w:rPr>
        <w:t>4</w:t>
      </w:r>
      <w:r>
        <w:rPr>
          <w:rFonts w:hint="default" w:ascii="Times New Roman" w:hAnsi="Times New Roman" w:eastAsia="宋体" w:cs="Times New Roman"/>
          <w:bCs w:val="0"/>
          <w:kern w:val="21"/>
        </w:rPr>
        <w:t xml:space="preserve"> </w:t>
      </w:r>
      <w:r>
        <w:rPr>
          <w:rFonts w:hint="default" w:ascii="Times New Roman" w:hAnsi="Times New Roman" w:eastAsia="宋体" w:cs="Times New Roman"/>
          <w:bCs w:val="0"/>
          <w:kern w:val="21"/>
          <w:lang w:val="en-US" w:eastAsia="zh-CN"/>
        </w:rPr>
        <w:t xml:space="preserve"> </w:t>
      </w:r>
      <w:r>
        <w:rPr>
          <w:rFonts w:hint="default" w:ascii="Times New Roman" w:hAnsi="Times New Roman" w:eastAsia="宋体" w:cs="Times New Roman"/>
          <w:bCs/>
          <w:kern w:val="21"/>
        </w:rPr>
        <w:t>应急管理</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_Toc12478 \h </w:instrText>
      </w:r>
      <w:r>
        <w:rPr>
          <w:rFonts w:hint="default" w:ascii="Times New Roman" w:hAnsi="Times New Roman" w:eastAsia="宋体" w:cs="Times New Roman"/>
        </w:rPr>
        <w:fldChar w:fldCharType="separate"/>
      </w:r>
      <w:r>
        <w:rPr>
          <w:rFonts w:hint="default" w:ascii="Times New Roman" w:hAnsi="Times New Roman" w:eastAsia="宋体" w:cs="Times New Roman"/>
        </w:rPr>
        <w:t>15</w:t>
      </w:r>
      <w:r>
        <w:rPr>
          <w:rFonts w:hint="default" w:ascii="Times New Roman" w:hAnsi="Times New Roman" w:eastAsia="宋体" w:cs="Times New Roman"/>
        </w:rPr>
        <w:fldChar w:fldCharType="end"/>
      </w:r>
    </w:p>
    <w:p w14:paraId="161AC942">
      <w:pPr>
        <w:pStyle w:val="26"/>
        <w:tabs>
          <w:tab w:val="right" w:leader="dot" w:pos="9354"/>
          <w:tab w:val="clear" w:pos="9344"/>
        </w:tabs>
      </w:pPr>
      <w:r>
        <w:rPr>
          <w:rFonts w:hint="default" w:ascii="Times New Roman" w:hAnsi="Times New Roman" w:eastAsia="宋体" w:cs="Times New Roman"/>
          <w:bCs w:val="0"/>
          <w:kern w:val="21"/>
        </w:rPr>
        <w:t>10.</w:t>
      </w:r>
      <w:r>
        <w:rPr>
          <w:rFonts w:hint="default" w:ascii="Times New Roman" w:hAnsi="Times New Roman" w:eastAsia="宋体" w:cs="Times New Roman"/>
          <w:bCs w:val="0"/>
          <w:kern w:val="21"/>
          <w:lang w:val="en-US" w:eastAsia="zh-CN"/>
        </w:rPr>
        <w:t>5</w:t>
      </w:r>
      <w:r>
        <w:rPr>
          <w:rFonts w:hint="default" w:ascii="Times New Roman" w:hAnsi="Times New Roman" w:eastAsia="宋体" w:cs="Times New Roman"/>
          <w:bCs w:val="0"/>
          <w:kern w:val="21"/>
        </w:rPr>
        <w:t xml:space="preserve"> </w:t>
      </w:r>
      <w:r>
        <w:rPr>
          <w:rFonts w:hint="default" w:ascii="Times New Roman" w:hAnsi="Times New Roman" w:eastAsia="宋体" w:cs="Times New Roman"/>
          <w:bCs w:val="0"/>
          <w:kern w:val="21"/>
          <w:lang w:val="en-US" w:eastAsia="zh-CN"/>
        </w:rPr>
        <w:t xml:space="preserve"> </w:t>
      </w:r>
      <w:r>
        <w:rPr>
          <w:rFonts w:hint="default" w:ascii="Times New Roman" w:hAnsi="Times New Roman" w:eastAsia="宋体" w:cs="Times New Roman"/>
          <w:bCs/>
          <w:kern w:val="21"/>
        </w:rPr>
        <w:t>符合性检查</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_Toc24787 \h </w:instrText>
      </w:r>
      <w:r>
        <w:rPr>
          <w:rFonts w:hint="default" w:ascii="Times New Roman" w:hAnsi="Times New Roman" w:eastAsia="宋体" w:cs="Times New Roman"/>
        </w:rPr>
        <w:fldChar w:fldCharType="separate"/>
      </w:r>
      <w:r>
        <w:rPr>
          <w:rFonts w:hint="default" w:ascii="Times New Roman" w:hAnsi="Times New Roman" w:eastAsia="宋体" w:cs="Times New Roman"/>
        </w:rPr>
        <w:t>15</w:t>
      </w:r>
      <w:r>
        <w:rPr>
          <w:rFonts w:hint="default" w:ascii="Times New Roman" w:hAnsi="Times New Roman" w:eastAsia="宋体" w:cs="Times New Roman"/>
        </w:rPr>
        <w:fldChar w:fldCharType="end"/>
      </w:r>
    </w:p>
    <w:p w14:paraId="0E1B9006">
      <w:pPr>
        <w:pStyle w:val="96"/>
        <w:spacing w:after="360"/>
        <w:sectPr>
          <w:headerReference r:id="rId12" w:type="first"/>
          <w:headerReference r:id="rId10" w:type="default"/>
          <w:footerReference r:id="rId13" w:type="default"/>
          <w:headerReference r:id="rId11" w:type="even"/>
          <w:footerReference r:id="rId14" w:type="even"/>
          <w:pgSz w:w="11906" w:h="16838"/>
          <w:pgMar w:top="1928" w:right="1134" w:bottom="1134" w:left="1134" w:header="1418" w:footer="1134" w:gutter="284"/>
          <w:pgNumType w:fmt="upperRoman" w:start="1"/>
          <w:cols w:space="425" w:num="1"/>
          <w:formProt w:val="0"/>
          <w:docGrid w:linePitch="312" w:charSpace="0"/>
        </w:sectPr>
      </w:pPr>
      <w:r>
        <w:rPr>
          <w:rFonts w:ascii="Times New Roman" w:hAnsi="Times New Roman" w:eastAsia="宋体"/>
        </w:rPr>
        <w:fldChar w:fldCharType="end"/>
      </w:r>
    </w:p>
    <w:bookmarkEnd w:id="15"/>
    <w:p w14:paraId="79B04A67">
      <w:pPr>
        <w:pStyle w:val="94"/>
        <w:spacing w:before="900" w:after="360"/>
      </w:pPr>
      <w:bookmarkStart w:id="17" w:name="_Toc20687"/>
      <w:bookmarkStart w:id="18" w:name="_Toc199856993"/>
      <w:bookmarkStart w:id="19" w:name="BookMark2"/>
      <w:bookmarkStart w:id="96" w:name="_GoBack"/>
      <w:bookmarkEnd w:id="96"/>
      <w:r>
        <w:rPr>
          <w:rFonts w:hint="eastAsia"/>
          <w:spacing w:val="320"/>
        </w:rPr>
        <w:t>前</w:t>
      </w:r>
      <w:r>
        <w:rPr>
          <w:rFonts w:hint="eastAsia"/>
        </w:rPr>
        <w:t>言</w:t>
      </w:r>
      <w:bookmarkEnd w:id="16"/>
      <w:bookmarkEnd w:id="17"/>
      <w:bookmarkEnd w:id="18"/>
    </w:p>
    <w:p w14:paraId="6803C868">
      <w:pPr>
        <w:pStyle w:val="61"/>
        <w:ind w:firstLine="420"/>
      </w:pPr>
      <w:r>
        <w:rPr>
          <w:rFonts w:hint="eastAsia"/>
        </w:rPr>
        <w:t>本文件按照GB/T 1.1—2020《标准化工作导则  第1部分：标准化文件的结构和起草规则》的规定起草。</w:t>
      </w:r>
    </w:p>
    <w:p w14:paraId="7977F114">
      <w:pPr>
        <w:pStyle w:val="61"/>
        <w:ind w:firstLine="420"/>
      </w:pPr>
      <w:r>
        <w:rPr>
          <w:rFonts w:hint="eastAsia"/>
        </w:rPr>
        <w:t>请注意本文件的某些内容可能涉及专利，本文件的发布机构不承担识别这些专利的责任。</w:t>
      </w:r>
    </w:p>
    <w:p w14:paraId="6C771983">
      <w:pPr>
        <w:pStyle w:val="61"/>
        <w:ind w:firstLine="420"/>
      </w:pPr>
      <w:r>
        <w:rPr>
          <w:rFonts w:hint="eastAsia"/>
        </w:rPr>
        <w:t>本文件由中国基本建设优化研究会提出并归口。</w:t>
      </w:r>
    </w:p>
    <w:p w14:paraId="12C51EA3">
      <w:pPr>
        <w:pStyle w:val="61"/>
        <w:ind w:firstLine="420"/>
      </w:pPr>
      <w:r>
        <w:rPr>
          <w:rFonts w:hint="eastAsia"/>
        </w:rPr>
        <w:t>本文件起草单位：</w:t>
      </w:r>
    </w:p>
    <w:p w14:paraId="3FA3F0F0">
      <w:pPr>
        <w:pStyle w:val="61"/>
        <w:ind w:firstLine="420"/>
      </w:pPr>
      <w:r>
        <w:rPr>
          <w:rFonts w:hint="eastAsia"/>
        </w:rPr>
        <w:t>本文件主要起草人：</w:t>
      </w:r>
    </w:p>
    <w:p w14:paraId="0C1390A2">
      <w:pPr>
        <w:pStyle w:val="61"/>
        <w:ind w:firstLine="420"/>
      </w:pPr>
    </w:p>
    <w:p w14:paraId="1411D536">
      <w:pPr>
        <w:pStyle w:val="61"/>
        <w:ind w:firstLine="420"/>
        <w:sectPr>
          <w:headerReference r:id="rId17" w:type="first"/>
          <w:headerReference r:id="rId15" w:type="default"/>
          <w:footerReference r:id="rId18" w:type="default"/>
          <w:headerReference r:id="rId16" w:type="even"/>
          <w:footerReference r:id="rId19" w:type="even"/>
          <w:pgSz w:w="11906" w:h="16838"/>
          <w:pgMar w:top="1928" w:right="1134" w:bottom="1134" w:left="1134" w:header="1418" w:footer="1134" w:gutter="284"/>
          <w:pgNumType w:fmt="upperRoman"/>
          <w:cols w:space="425" w:num="1"/>
          <w:formProt w:val="0"/>
          <w:docGrid w:linePitch="312" w:charSpace="0"/>
        </w:sectPr>
      </w:pPr>
    </w:p>
    <w:bookmarkEnd w:id="19"/>
    <w:p w14:paraId="6F191CB9">
      <w:pPr>
        <w:spacing w:line="20" w:lineRule="exact"/>
        <w:jc w:val="center"/>
        <w:rPr>
          <w:rFonts w:ascii="黑体" w:hAnsi="黑体" w:eastAsia="黑体"/>
          <w:sz w:val="32"/>
          <w:szCs w:val="32"/>
        </w:rPr>
      </w:pPr>
      <w:bookmarkStart w:id="20" w:name="BookMark4"/>
    </w:p>
    <w:p w14:paraId="69904142">
      <w:pPr>
        <w:spacing w:line="20" w:lineRule="exact"/>
        <w:jc w:val="center"/>
        <w:rPr>
          <w:rFonts w:ascii="黑体" w:hAnsi="黑体" w:eastAsia="黑体"/>
          <w:sz w:val="32"/>
          <w:szCs w:val="32"/>
        </w:rPr>
      </w:pPr>
    </w:p>
    <w:sdt>
      <w:sdtPr>
        <w:tag w:val="NEW_STAND_NAME"/>
        <w:id w:val="595910757"/>
        <w:lock w:val="sdtLocked"/>
        <w:placeholder>
          <w:docPart w:val="72B77DB749804158B30A2318A9CC564E"/>
        </w:placeholder>
      </w:sdtPr>
      <w:sdtContent>
        <w:p w14:paraId="2264B1D0">
          <w:pPr>
            <w:pStyle w:val="182"/>
          </w:pPr>
          <w:bookmarkStart w:id="21" w:name="NEW_STAND_NAME"/>
          <w:r>
            <w:rPr>
              <w:rFonts w:hint="default" w:ascii="Times New Roman" w:hAnsi="Times New Roman" w:cs="Times New Roman"/>
              <w:lang w:eastAsia="zh-CN"/>
            </w:rPr>
            <w:t>水网天空地一体化智能监测技术规程</w:t>
          </w:r>
          <w:r>
            <w:rPr>
              <w:rFonts w:hint="eastAsia"/>
              <w:lang w:val="en-US" w:eastAsia="zh-CN"/>
            </w:rPr>
            <w:t xml:space="preserve"> </w:t>
          </w:r>
        </w:p>
      </w:sdtContent>
    </w:sdt>
    <w:bookmarkEnd w:id="20"/>
    <w:bookmarkEnd w:id="21"/>
    <w:p w14:paraId="0D6772B9">
      <w:pPr>
        <w:keepNext/>
        <w:keepLines/>
        <w:pageBreakBefore w:val="0"/>
        <w:widowControl w:val="0"/>
        <w:numPr>
          <w:ilvl w:val="0"/>
          <w:numId w:val="32"/>
        </w:numPr>
        <w:kinsoku/>
        <w:wordWrap/>
        <w:overflowPunct/>
        <w:topLinePunct w:val="0"/>
        <w:autoSpaceDE/>
        <w:autoSpaceDN/>
        <w:bidi w:val="0"/>
        <w:adjustRightInd/>
        <w:snapToGrid/>
        <w:spacing w:before="313" w:beforeLines="100" w:after="313" w:afterLines="100" w:line="240" w:lineRule="auto"/>
        <w:ind w:left="363" w:leftChars="0" w:hanging="363" w:firstLineChars="0"/>
        <w:textAlignment w:val="auto"/>
        <w:outlineLvl w:val="0"/>
        <w:rPr>
          <w:rFonts w:hint="eastAsia" w:ascii="Times New Roman" w:hAnsi="Times New Roman" w:eastAsia="黑体"/>
          <w:b/>
          <w:bCs w:val="0"/>
          <w:kern w:val="44"/>
          <w:highlight w:val="none"/>
          <w:lang w:val="en-US" w:eastAsia="zh-CN"/>
        </w:rPr>
      </w:pPr>
      <w:bookmarkStart w:id="22" w:name="_Toc534381560"/>
      <w:bookmarkStart w:id="23" w:name="_Toc3248"/>
      <w:bookmarkStart w:id="24" w:name="_Toc199857045"/>
      <w:bookmarkStart w:id="25" w:name="BookMark8"/>
      <w:r>
        <w:rPr>
          <w:rFonts w:hint="eastAsia" w:ascii="Times New Roman" w:hAnsi="Times New Roman" w:eastAsia="黑体"/>
          <w:b/>
          <w:bCs w:val="0"/>
          <w:kern w:val="44"/>
          <w:highlight w:val="none"/>
          <w:lang w:val="en-US" w:eastAsia="zh-CN"/>
        </w:rPr>
        <w:t>范围</w:t>
      </w:r>
      <w:bookmarkEnd w:id="22"/>
      <w:bookmarkEnd w:id="23"/>
    </w:p>
    <w:p w14:paraId="14994844">
      <w:pPr>
        <w:adjustRightInd/>
        <w:spacing w:line="240" w:lineRule="auto"/>
        <w:ind w:firstLine="210" w:firstLineChars="100"/>
        <w:rPr>
          <w:rFonts w:hint="eastAsia" w:ascii="Times New Roman" w:hAnsi="Times New Roman"/>
          <w:szCs w:val="24"/>
        </w:rPr>
      </w:pPr>
      <w:r>
        <w:rPr>
          <w:rFonts w:hint="eastAsia" w:ascii="Times New Roman" w:hAnsi="Times New Roman"/>
          <w:szCs w:val="24"/>
        </w:rPr>
        <w:t>本文件规定了水网天空地一体化智能监测的总体要求、监测要素与指标、天基监测、空基监测、地基监测、数据管理与应用、系统运维与安全。</w:t>
      </w:r>
    </w:p>
    <w:p w14:paraId="3FC4E26B">
      <w:pPr>
        <w:adjustRightInd/>
        <w:spacing w:line="240" w:lineRule="auto"/>
        <w:ind w:firstLine="210" w:firstLineChars="100"/>
        <w:rPr>
          <w:rFonts w:hint="eastAsia" w:ascii="Times New Roman" w:hAnsi="Times New Roman"/>
          <w:szCs w:val="24"/>
        </w:rPr>
      </w:pPr>
      <w:r>
        <w:rPr>
          <w:rFonts w:hint="eastAsia" w:ascii="Times New Roman" w:hAnsi="Times New Roman"/>
          <w:szCs w:val="24"/>
        </w:rPr>
        <w:t>本文件主要适用于江、河、湖、库、地下水、近岸海域等自然水体以及水利工程、供水排水系统等人工水网的天空地一体化智能监测系统的规划、设计、建设、验收、运维和管理。</w:t>
      </w:r>
    </w:p>
    <w:p w14:paraId="68E18B3B">
      <w:pPr>
        <w:keepNext/>
        <w:keepLines/>
        <w:pageBreakBefore w:val="0"/>
        <w:widowControl w:val="0"/>
        <w:numPr>
          <w:ilvl w:val="0"/>
          <w:numId w:val="32"/>
        </w:numPr>
        <w:kinsoku/>
        <w:wordWrap/>
        <w:overflowPunct/>
        <w:topLinePunct w:val="0"/>
        <w:autoSpaceDE/>
        <w:autoSpaceDN/>
        <w:bidi w:val="0"/>
        <w:adjustRightInd/>
        <w:snapToGrid/>
        <w:spacing w:before="313" w:beforeLines="100" w:after="313" w:afterLines="100" w:line="240" w:lineRule="auto"/>
        <w:ind w:left="363" w:leftChars="0" w:hanging="363" w:firstLineChars="0"/>
        <w:textAlignment w:val="auto"/>
        <w:outlineLvl w:val="0"/>
        <w:rPr>
          <w:rFonts w:hint="eastAsia" w:ascii="Times New Roman" w:hAnsi="Times New Roman" w:eastAsia="黑体"/>
          <w:b/>
          <w:bCs w:val="0"/>
          <w:kern w:val="44"/>
          <w:highlight w:val="none"/>
          <w:lang w:val="en-US" w:eastAsia="zh-CN"/>
        </w:rPr>
      </w:pPr>
      <w:bookmarkStart w:id="26" w:name="_Toc534381561"/>
      <w:bookmarkStart w:id="27" w:name="_Toc4724"/>
      <w:r>
        <w:rPr>
          <w:rFonts w:hint="eastAsia" w:ascii="Times New Roman" w:hAnsi="Times New Roman" w:eastAsia="黑体"/>
          <w:b/>
          <w:bCs w:val="0"/>
          <w:kern w:val="44"/>
          <w:highlight w:val="none"/>
          <w:lang w:val="en-US" w:eastAsia="zh-CN"/>
        </w:rPr>
        <w:t>规范性引用文件</w:t>
      </w:r>
      <w:bookmarkEnd w:id="26"/>
      <w:bookmarkEnd w:id="27"/>
    </w:p>
    <w:p w14:paraId="35A3F7D3">
      <w:pPr>
        <w:adjustRightInd/>
        <w:spacing w:line="240" w:lineRule="auto"/>
        <w:ind w:firstLine="420" w:firstLineChars="200"/>
        <w:rPr>
          <w:rFonts w:ascii="Times New Roman" w:hAnsi="Times New Roman"/>
          <w:szCs w:val="24"/>
        </w:rPr>
      </w:pPr>
      <w:r>
        <w:rPr>
          <w:rFonts w:hint="eastAsia" w:ascii="Times New Roman" w:hAnsi="Times New Roman"/>
          <w:szCs w:val="24"/>
        </w:rPr>
        <w:t>下列文件对于本文件的应用是必不可少的。凡是注日期的引用文件，仅所注日期的版本适用于本文件。凡是不注日期的引用文件，其最新版本（包括所有的修改单）适用于本文件。</w:t>
      </w:r>
    </w:p>
    <w:p w14:paraId="59D7D8A9">
      <w:pPr>
        <w:adjustRightInd/>
        <w:spacing w:after="120" w:line="240" w:lineRule="auto"/>
        <w:ind w:firstLine="420" w:firstLineChars="200"/>
        <w:rPr>
          <w:rFonts w:hint="eastAsia" w:ascii="Times New Roman" w:hAnsi="Times New Roman"/>
          <w:szCs w:val="24"/>
          <w:highlight w:val="none"/>
        </w:rPr>
      </w:pPr>
      <w:r>
        <w:rPr>
          <w:rFonts w:hint="eastAsia" w:ascii="Times New Roman" w:hAnsi="Times New Roman"/>
          <w:szCs w:val="24"/>
          <w:highlight w:val="none"/>
        </w:rPr>
        <w:t>GB 3838 地表水环境质量标准</w:t>
      </w:r>
    </w:p>
    <w:p w14:paraId="6C2D2A0F">
      <w:pPr>
        <w:adjustRightInd/>
        <w:spacing w:after="120" w:line="240" w:lineRule="auto"/>
        <w:ind w:firstLine="420" w:firstLineChars="200"/>
        <w:rPr>
          <w:rFonts w:hint="eastAsia" w:ascii="Times New Roman" w:hAnsi="Times New Roman"/>
          <w:szCs w:val="24"/>
          <w:highlight w:val="none"/>
        </w:rPr>
      </w:pPr>
      <w:r>
        <w:rPr>
          <w:rFonts w:hint="eastAsia" w:ascii="Times New Roman" w:hAnsi="Times New Roman"/>
          <w:szCs w:val="24"/>
          <w:highlight w:val="none"/>
        </w:rPr>
        <w:t>GB/T 15966</w:t>
      </w:r>
      <w:r>
        <w:rPr>
          <w:rFonts w:hint="eastAsia" w:ascii="Times New Roman" w:hAnsi="Times New Roman"/>
          <w:szCs w:val="24"/>
          <w:highlight w:val="none"/>
          <w:lang w:val="en-US" w:eastAsia="zh-CN"/>
        </w:rPr>
        <w:t xml:space="preserve"> </w:t>
      </w:r>
      <w:r>
        <w:rPr>
          <w:rFonts w:hint="eastAsia" w:ascii="Times New Roman" w:hAnsi="Times New Roman"/>
          <w:szCs w:val="24"/>
          <w:highlight w:val="none"/>
        </w:rPr>
        <w:t>水文仪器基本参数及通用技术条件</w:t>
      </w:r>
    </w:p>
    <w:p w14:paraId="769FFD74">
      <w:pPr>
        <w:adjustRightInd/>
        <w:spacing w:after="120" w:line="240" w:lineRule="auto"/>
        <w:ind w:firstLine="420" w:firstLineChars="200"/>
        <w:rPr>
          <w:rFonts w:hint="eastAsia" w:ascii="Times New Roman" w:hAnsi="Times New Roman"/>
          <w:szCs w:val="24"/>
          <w:highlight w:val="none"/>
        </w:rPr>
      </w:pPr>
      <w:r>
        <w:rPr>
          <w:rFonts w:hint="eastAsia" w:ascii="Times New Roman" w:hAnsi="Times New Roman"/>
          <w:szCs w:val="24"/>
          <w:highlight w:val="none"/>
        </w:rPr>
        <w:t>GB/T 15968</w:t>
      </w:r>
      <w:r>
        <w:rPr>
          <w:rFonts w:hint="eastAsia" w:ascii="Times New Roman" w:hAnsi="Times New Roman"/>
          <w:szCs w:val="24"/>
          <w:highlight w:val="none"/>
          <w:lang w:val="en-US" w:eastAsia="zh-CN"/>
        </w:rPr>
        <w:t xml:space="preserve"> </w:t>
      </w:r>
      <w:r>
        <w:rPr>
          <w:rFonts w:hint="eastAsia" w:ascii="Times New Roman" w:hAnsi="Times New Roman"/>
          <w:szCs w:val="24"/>
          <w:highlight w:val="none"/>
        </w:rPr>
        <w:t>遥感影像平面图制作规范</w:t>
      </w:r>
    </w:p>
    <w:p w14:paraId="19248982">
      <w:pPr>
        <w:adjustRightInd/>
        <w:spacing w:after="120" w:line="240" w:lineRule="auto"/>
        <w:ind w:firstLine="420" w:firstLineChars="200"/>
        <w:rPr>
          <w:rFonts w:hint="eastAsia" w:ascii="Times New Roman" w:hAnsi="Times New Roman"/>
          <w:szCs w:val="24"/>
          <w:highlight w:val="none"/>
        </w:rPr>
      </w:pPr>
      <w:r>
        <w:rPr>
          <w:rFonts w:hint="eastAsia" w:ascii="Times New Roman" w:hAnsi="Times New Roman"/>
          <w:szCs w:val="24"/>
          <w:highlight w:val="none"/>
        </w:rPr>
        <w:t>GB/T 20271</w:t>
      </w:r>
      <w:r>
        <w:rPr>
          <w:rFonts w:hint="eastAsia" w:ascii="Times New Roman" w:hAnsi="Times New Roman"/>
          <w:szCs w:val="24"/>
          <w:highlight w:val="none"/>
          <w:lang w:val="en-US" w:eastAsia="zh-CN"/>
        </w:rPr>
        <w:t xml:space="preserve"> </w:t>
      </w:r>
      <w:r>
        <w:rPr>
          <w:rFonts w:hint="eastAsia" w:ascii="Times New Roman" w:hAnsi="Times New Roman"/>
          <w:szCs w:val="24"/>
          <w:highlight w:val="none"/>
        </w:rPr>
        <w:t>信息安全技术 信息系统通用安全技术要求</w:t>
      </w:r>
    </w:p>
    <w:p w14:paraId="7334F86A">
      <w:pPr>
        <w:adjustRightInd/>
        <w:spacing w:after="120" w:line="240" w:lineRule="auto"/>
        <w:ind w:firstLine="420" w:firstLineChars="200"/>
        <w:rPr>
          <w:rFonts w:hint="eastAsia" w:ascii="Times New Roman" w:hAnsi="Times New Roman"/>
          <w:szCs w:val="24"/>
          <w:highlight w:val="none"/>
        </w:rPr>
      </w:pPr>
      <w:r>
        <w:rPr>
          <w:rFonts w:hint="eastAsia" w:ascii="Times New Roman" w:hAnsi="Times New Roman"/>
          <w:szCs w:val="24"/>
          <w:highlight w:val="none"/>
        </w:rPr>
        <w:t>GB/T 21978 降水量观测仪器</w:t>
      </w:r>
    </w:p>
    <w:p w14:paraId="603BABC9">
      <w:pPr>
        <w:adjustRightInd/>
        <w:spacing w:after="120" w:line="240" w:lineRule="auto"/>
        <w:ind w:firstLine="420" w:firstLineChars="200"/>
        <w:rPr>
          <w:rFonts w:hint="eastAsia" w:ascii="Times New Roman" w:hAnsi="Times New Roman"/>
          <w:szCs w:val="24"/>
          <w:highlight w:val="none"/>
        </w:rPr>
      </w:pPr>
      <w:r>
        <w:rPr>
          <w:rFonts w:hint="eastAsia" w:ascii="Times New Roman" w:hAnsi="Times New Roman"/>
          <w:szCs w:val="24"/>
          <w:highlight w:val="none"/>
        </w:rPr>
        <w:t>GB/T 22239</w:t>
      </w:r>
      <w:r>
        <w:rPr>
          <w:rFonts w:hint="eastAsia" w:ascii="Times New Roman" w:hAnsi="Times New Roman"/>
          <w:szCs w:val="24"/>
          <w:highlight w:val="none"/>
          <w:lang w:val="en-US" w:eastAsia="zh-CN"/>
        </w:rPr>
        <w:t xml:space="preserve"> </w:t>
      </w:r>
      <w:r>
        <w:rPr>
          <w:rFonts w:hint="eastAsia" w:ascii="Times New Roman" w:hAnsi="Times New Roman"/>
          <w:szCs w:val="24"/>
          <w:highlight w:val="none"/>
        </w:rPr>
        <w:t>信息安全技术 网络安全等级保护基本要求</w:t>
      </w:r>
    </w:p>
    <w:p w14:paraId="2E2AAA60">
      <w:pPr>
        <w:adjustRightInd/>
        <w:spacing w:after="120" w:line="240" w:lineRule="auto"/>
        <w:ind w:firstLine="420" w:firstLineChars="200"/>
        <w:rPr>
          <w:rFonts w:hint="eastAsia" w:ascii="Times New Roman" w:hAnsi="Times New Roman"/>
          <w:szCs w:val="24"/>
          <w:highlight w:val="none"/>
        </w:rPr>
      </w:pPr>
      <w:r>
        <w:rPr>
          <w:rFonts w:hint="eastAsia" w:ascii="Times New Roman" w:hAnsi="Times New Roman"/>
          <w:szCs w:val="24"/>
          <w:highlight w:val="none"/>
        </w:rPr>
        <w:t>GB/T 30954 水文自动测报系统 通用设备</w:t>
      </w:r>
    </w:p>
    <w:p w14:paraId="4397B0BF">
      <w:pPr>
        <w:adjustRightInd/>
        <w:spacing w:after="120" w:line="240" w:lineRule="auto"/>
        <w:ind w:firstLine="420" w:firstLineChars="200"/>
        <w:rPr>
          <w:rFonts w:hint="eastAsia" w:ascii="Times New Roman" w:hAnsi="Times New Roman"/>
          <w:szCs w:val="24"/>
          <w:highlight w:val="none"/>
        </w:rPr>
      </w:pPr>
      <w:r>
        <w:rPr>
          <w:rFonts w:hint="eastAsia" w:ascii="Times New Roman" w:hAnsi="Times New Roman"/>
          <w:szCs w:val="24"/>
          <w:highlight w:val="none"/>
        </w:rPr>
        <w:t>GB 50057</w:t>
      </w:r>
      <w:r>
        <w:rPr>
          <w:rFonts w:hint="eastAsia" w:ascii="Times New Roman" w:hAnsi="Times New Roman"/>
          <w:szCs w:val="24"/>
          <w:highlight w:val="none"/>
          <w:lang w:val="en-US" w:eastAsia="zh-CN"/>
        </w:rPr>
        <w:t xml:space="preserve"> </w:t>
      </w:r>
      <w:r>
        <w:rPr>
          <w:rFonts w:hint="eastAsia" w:ascii="Times New Roman" w:hAnsi="Times New Roman"/>
          <w:szCs w:val="24"/>
          <w:highlight w:val="none"/>
        </w:rPr>
        <w:t>建筑物防雷设计规范</w:t>
      </w:r>
    </w:p>
    <w:p w14:paraId="6CD864DB">
      <w:pPr>
        <w:adjustRightInd/>
        <w:spacing w:after="120" w:line="240" w:lineRule="auto"/>
        <w:ind w:firstLine="420" w:firstLineChars="200"/>
        <w:rPr>
          <w:rFonts w:hint="eastAsia" w:ascii="Times New Roman" w:hAnsi="Times New Roman"/>
          <w:szCs w:val="24"/>
          <w:highlight w:val="none"/>
        </w:rPr>
      </w:pPr>
      <w:r>
        <w:rPr>
          <w:rFonts w:hint="eastAsia" w:ascii="Times New Roman" w:hAnsi="Times New Roman"/>
          <w:szCs w:val="24"/>
          <w:highlight w:val="none"/>
        </w:rPr>
        <w:t>GB/T 50138</w:t>
      </w:r>
      <w:r>
        <w:rPr>
          <w:rFonts w:hint="eastAsia" w:ascii="Times New Roman" w:hAnsi="Times New Roman"/>
          <w:szCs w:val="24"/>
          <w:highlight w:val="none"/>
          <w:lang w:val="en-US" w:eastAsia="zh-CN"/>
        </w:rPr>
        <w:t xml:space="preserve"> </w:t>
      </w:r>
      <w:r>
        <w:rPr>
          <w:rFonts w:hint="eastAsia" w:ascii="Times New Roman" w:hAnsi="Times New Roman"/>
          <w:szCs w:val="24"/>
          <w:highlight w:val="none"/>
        </w:rPr>
        <w:t>水位观测标准</w:t>
      </w:r>
    </w:p>
    <w:p w14:paraId="2F5CDCAE">
      <w:pPr>
        <w:adjustRightInd/>
        <w:spacing w:after="120" w:line="240" w:lineRule="auto"/>
        <w:ind w:firstLine="420" w:firstLineChars="200"/>
        <w:rPr>
          <w:rFonts w:hint="eastAsia" w:ascii="Times New Roman" w:hAnsi="Times New Roman"/>
          <w:szCs w:val="24"/>
          <w:highlight w:val="none"/>
        </w:rPr>
      </w:pPr>
      <w:r>
        <w:rPr>
          <w:rFonts w:hint="eastAsia" w:ascii="Times New Roman" w:hAnsi="Times New Roman"/>
          <w:szCs w:val="24"/>
          <w:highlight w:val="none"/>
        </w:rPr>
        <w:t>GB 50601</w:t>
      </w:r>
      <w:r>
        <w:rPr>
          <w:rFonts w:hint="eastAsia" w:ascii="Times New Roman" w:hAnsi="Times New Roman"/>
          <w:szCs w:val="24"/>
          <w:highlight w:val="none"/>
          <w:lang w:val="en-US" w:eastAsia="zh-CN"/>
        </w:rPr>
        <w:t xml:space="preserve"> </w:t>
      </w:r>
      <w:r>
        <w:rPr>
          <w:rFonts w:hint="eastAsia" w:ascii="Times New Roman" w:hAnsi="Times New Roman"/>
          <w:szCs w:val="24"/>
          <w:highlight w:val="none"/>
        </w:rPr>
        <w:t>建筑物防雷工程施工与质量验收规范</w:t>
      </w:r>
    </w:p>
    <w:p w14:paraId="7FCCAB2C">
      <w:pPr>
        <w:adjustRightInd/>
        <w:spacing w:after="120" w:line="240" w:lineRule="auto"/>
        <w:ind w:firstLine="420" w:firstLineChars="200"/>
        <w:rPr>
          <w:rFonts w:hint="eastAsia" w:ascii="Times New Roman" w:hAnsi="Times New Roman"/>
          <w:szCs w:val="24"/>
          <w:highlight w:val="none"/>
        </w:rPr>
      </w:pPr>
      <w:r>
        <w:rPr>
          <w:rFonts w:hint="eastAsia" w:ascii="Times New Roman" w:hAnsi="Times New Roman"/>
          <w:szCs w:val="24"/>
          <w:highlight w:val="none"/>
        </w:rPr>
        <w:t>CH/T 3004</w:t>
      </w:r>
      <w:r>
        <w:rPr>
          <w:rFonts w:hint="eastAsia" w:ascii="Times New Roman" w:hAnsi="Times New Roman"/>
          <w:szCs w:val="24"/>
          <w:highlight w:val="none"/>
          <w:lang w:val="en-US" w:eastAsia="zh-CN"/>
        </w:rPr>
        <w:t xml:space="preserve"> </w:t>
      </w:r>
      <w:r>
        <w:rPr>
          <w:rFonts w:hint="eastAsia" w:ascii="Times New Roman" w:hAnsi="Times New Roman"/>
          <w:szCs w:val="24"/>
          <w:highlight w:val="none"/>
        </w:rPr>
        <w:t>低空数字航空摄影测量外业规范</w:t>
      </w:r>
    </w:p>
    <w:p w14:paraId="21E1B41F">
      <w:pPr>
        <w:adjustRightInd/>
        <w:spacing w:after="120" w:line="240" w:lineRule="auto"/>
        <w:ind w:firstLine="420" w:firstLineChars="200"/>
        <w:rPr>
          <w:rFonts w:hint="eastAsia" w:ascii="Times New Roman" w:hAnsi="Times New Roman"/>
          <w:szCs w:val="24"/>
          <w:highlight w:val="none"/>
        </w:rPr>
      </w:pPr>
      <w:r>
        <w:rPr>
          <w:rFonts w:hint="eastAsia" w:ascii="Times New Roman" w:hAnsi="Times New Roman"/>
          <w:szCs w:val="24"/>
          <w:highlight w:val="none"/>
        </w:rPr>
        <w:t>CH/T 3006</w:t>
      </w:r>
      <w:r>
        <w:rPr>
          <w:rFonts w:hint="eastAsia" w:ascii="Times New Roman" w:hAnsi="Times New Roman"/>
          <w:szCs w:val="24"/>
          <w:highlight w:val="none"/>
          <w:lang w:val="en-US" w:eastAsia="zh-CN"/>
        </w:rPr>
        <w:t xml:space="preserve"> </w:t>
      </w:r>
      <w:r>
        <w:rPr>
          <w:rFonts w:hint="eastAsia" w:ascii="Times New Roman" w:hAnsi="Times New Roman"/>
          <w:szCs w:val="24"/>
          <w:highlight w:val="none"/>
        </w:rPr>
        <w:t>数字航空摄影测量 控制测量规范</w:t>
      </w:r>
    </w:p>
    <w:p w14:paraId="7D3E352D">
      <w:pPr>
        <w:adjustRightInd/>
        <w:spacing w:after="120" w:line="240" w:lineRule="auto"/>
        <w:ind w:firstLine="420" w:firstLineChars="200"/>
        <w:rPr>
          <w:rFonts w:hint="eastAsia" w:ascii="Times New Roman" w:hAnsi="Times New Roman"/>
          <w:szCs w:val="24"/>
          <w:highlight w:val="none"/>
          <w:lang w:eastAsia="zh-CN"/>
        </w:rPr>
      </w:pPr>
      <w:r>
        <w:rPr>
          <w:rFonts w:hint="eastAsia" w:ascii="Times New Roman" w:hAnsi="Times New Roman"/>
          <w:szCs w:val="24"/>
          <w:highlight w:val="none"/>
          <w:lang w:eastAsia="zh-CN"/>
        </w:rPr>
        <w:t>HJ 164 地下水环境监测技术规范</w:t>
      </w:r>
    </w:p>
    <w:p w14:paraId="530DF5C4">
      <w:pPr>
        <w:adjustRightInd/>
        <w:spacing w:after="120" w:line="240" w:lineRule="auto"/>
        <w:ind w:firstLine="420" w:firstLineChars="200"/>
        <w:rPr>
          <w:rFonts w:hint="eastAsia" w:ascii="Times New Roman" w:hAnsi="Times New Roman"/>
          <w:szCs w:val="24"/>
          <w:highlight w:val="none"/>
        </w:rPr>
      </w:pPr>
      <w:r>
        <w:rPr>
          <w:rFonts w:hint="eastAsia" w:ascii="Times New Roman" w:hAnsi="Times New Roman"/>
          <w:szCs w:val="24"/>
          <w:highlight w:val="none"/>
        </w:rPr>
        <w:t>HJ 495</w:t>
      </w:r>
      <w:r>
        <w:rPr>
          <w:rFonts w:hint="eastAsia" w:ascii="Times New Roman" w:hAnsi="Times New Roman"/>
          <w:szCs w:val="24"/>
          <w:highlight w:val="none"/>
          <w:lang w:val="en-US" w:eastAsia="zh-CN"/>
        </w:rPr>
        <w:t xml:space="preserve"> </w:t>
      </w:r>
      <w:r>
        <w:rPr>
          <w:rFonts w:hint="eastAsia" w:ascii="Times New Roman" w:hAnsi="Times New Roman"/>
          <w:szCs w:val="24"/>
          <w:highlight w:val="none"/>
        </w:rPr>
        <w:t>水质 采样方案设计技术指导</w:t>
      </w:r>
    </w:p>
    <w:p w14:paraId="4A4DC063">
      <w:pPr>
        <w:adjustRightInd/>
        <w:spacing w:after="120" w:line="240" w:lineRule="auto"/>
        <w:ind w:firstLine="420" w:firstLineChars="200"/>
        <w:rPr>
          <w:rFonts w:hint="eastAsia" w:ascii="Times New Roman" w:hAnsi="Times New Roman"/>
          <w:szCs w:val="24"/>
          <w:highlight w:val="none"/>
        </w:rPr>
      </w:pPr>
      <w:r>
        <w:rPr>
          <w:rFonts w:hint="eastAsia" w:ascii="Times New Roman" w:hAnsi="Times New Roman"/>
          <w:szCs w:val="24"/>
          <w:highlight w:val="none"/>
        </w:rPr>
        <w:t>HJ 915 地表水自动监测技术规范（试行）</w:t>
      </w:r>
    </w:p>
    <w:p w14:paraId="57870660">
      <w:pPr>
        <w:adjustRightInd/>
        <w:spacing w:after="120" w:line="240" w:lineRule="auto"/>
        <w:ind w:firstLine="420" w:firstLineChars="200"/>
        <w:rPr>
          <w:rFonts w:hint="eastAsia" w:ascii="Times New Roman" w:hAnsi="Times New Roman"/>
          <w:szCs w:val="24"/>
          <w:highlight w:val="none"/>
        </w:rPr>
      </w:pPr>
      <w:r>
        <w:rPr>
          <w:rFonts w:hint="eastAsia" w:ascii="Times New Roman" w:hAnsi="Times New Roman"/>
          <w:szCs w:val="24"/>
          <w:highlight w:val="none"/>
        </w:rPr>
        <w:t>SL 219 水环境监测规范</w:t>
      </w:r>
    </w:p>
    <w:p w14:paraId="6DAD4F54">
      <w:pPr>
        <w:adjustRightInd/>
        <w:spacing w:after="120" w:line="240" w:lineRule="auto"/>
        <w:ind w:firstLine="420" w:firstLineChars="200"/>
        <w:rPr>
          <w:rFonts w:hint="eastAsia" w:ascii="Times New Roman" w:hAnsi="Times New Roman"/>
          <w:szCs w:val="24"/>
          <w:highlight w:val="none"/>
        </w:rPr>
      </w:pPr>
      <w:r>
        <w:rPr>
          <w:rFonts w:hint="eastAsia" w:ascii="Times New Roman" w:hAnsi="Times New Roman"/>
          <w:szCs w:val="24"/>
          <w:highlight w:val="none"/>
        </w:rPr>
        <w:t>SL/T 427</w:t>
      </w:r>
      <w:r>
        <w:rPr>
          <w:rFonts w:hint="eastAsia" w:ascii="Times New Roman" w:hAnsi="Times New Roman"/>
          <w:szCs w:val="24"/>
          <w:highlight w:val="none"/>
          <w:lang w:val="en-US" w:eastAsia="zh-CN"/>
        </w:rPr>
        <w:t xml:space="preserve"> </w:t>
      </w:r>
      <w:r>
        <w:rPr>
          <w:rFonts w:hint="eastAsia" w:ascii="Times New Roman" w:hAnsi="Times New Roman"/>
          <w:szCs w:val="24"/>
          <w:highlight w:val="none"/>
        </w:rPr>
        <w:t>水资源监测数据传输规约</w:t>
      </w:r>
    </w:p>
    <w:p w14:paraId="73A05AAE">
      <w:pPr>
        <w:adjustRightInd/>
        <w:spacing w:after="120" w:line="240" w:lineRule="auto"/>
        <w:ind w:firstLine="420" w:firstLineChars="200"/>
        <w:rPr>
          <w:rFonts w:hint="eastAsia" w:ascii="Times New Roman" w:hAnsi="Times New Roman"/>
          <w:szCs w:val="24"/>
        </w:rPr>
      </w:pPr>
      <w:r>
        <w:rPr>
          <w:rFonts w:hint="eastAsia" w:ascii="Times New Roman" w:hAnsi="Times New Roman"/>
          <w:szCs w:val="24"/>
          <w:highlight w:val="none"/>
        </w:rPr>
        <w:t>SL/T 651</w:t>
      </w:r>
      <w:r>
        <w:rPr>
          <w:rFonts w:hint="eastAsia" w:ascii="Times New Roman" w:hAnsi="Times New Roman"/>
          <w:szCs w:val="24"/>
          <w:highlight w:val="none"/>
          <w:lang w:val="en-US" w:eastAsia="zh-CN"/>
        </w:rPr>
        <w:t xml:space="preserve"> </w:t>
      </w:r>
      <w:r>
        <w:rPr>
          <w:rFonts w:hint="eastAsia" w:ascii="Times New Roman" w:hAnsi="Times New Roman"/>
          <w:szCs w:val="24"/>
          <w:highlight w:val="none"/>
        </w:rPr>
        <w:t>水文监测数据通信规约</w:t>
      </w:r>
    </w:p>
    <w:p w14:paraId="761CDEC5">
      <w:pPr>
        <w:keepNext/>
        <w:keepLines/>
        <w:pageBreakBefore w:val="0"/>
        <w:widowControl w:val="0"/>
        <w:numPr>
          <w:ilvl w:val="0"/>
          <w:numId w:val="32"/>
        </w:numPr>
        <w:kinsoku/>
        <w:wordWrap/>
        <w:overflowPunct/>
        <w:topLinePunct w:val="0"/>
        <w:autoSpaceDE/>
        <w:autoSpaceDN/>
        <w:bidi w:val="0"/>
        <w:adjustRightInd/>
        <w:snapToGrid/>
        <w:spacing w:before="313" w:beforeLines="100" w:after="313" w:afterLines="100" w:line="240" w:lineRule="auto"/>
        <w:ind w:left="363" w:leftChars="0" w:hanging="363" w:firstLineChars="0"/>
        <w:textAlignment w:val="auto"/>
        <w:outlineLvl w:val="0"/>
        <w:rPr>
          <w:rFonts w:hint="eastAsia" w:ascii="Times New Roman" w:hAnsi="Times New Roman" w:eastAsia="黑体"/>
          <w:b/>
          <w:bCs w:val="0"/>
          <w:kern w:val="44"/>
          <w:highlight w:val="none"/>
          <w:lang w:val="en-US" w:eastAsia="zh-CN"/>
        </w:rPr>
      </w:pPr>
      <w:bookmarkStart w:id="28" w:name="_Toc534381562"/>
      <w:bookmarkEnd w:id="28"/>
      <w:bookmarkStart w:id="29" w:name="_Toc9186"/>
      <w:r>
        <w:rPr>
          <w:rFonts w:hint="eastAsia" w:ascii="Times New Roman" w:hAnsi="Times New Roman" w:eastAsia="黑体"/>
          <w:b/>
          <w:bCs w:val="0"/>
          <w:kern w:val="44"/>
          <w:highlight w:val="none"/>
          <w:lang w:val="en-US" w:eastAsia="zh-CN"/>
        </w:rPr>
        <w:t>术语</w:t>
      </w:r>
      <w:bookmarkEnd w:id="29"/>
    </w:p>
    <w:p w14:paraId="3F9A344D">
      <w:pPr>
        <w:adjustRightInd/>
        <w:spacing w:after="120" w:line="360" w:lineRule="auto"/>
        <w:ind w:firstLine="420" w:firstLineChars="200"/>
        <w:rPr>
          <w:rFonts w:hint="eastAsia" w:ascii="Times New Roman" w:hAnsi="Times New Roman"/>
          <w:szCs w:val="24"/>
        </w:rPr>
      </w:pPr>
      <w:r>
        <w:rPr>
          <w:rFonts w:hint="eastAsia" w:ascii="Times New Roman" w:hAnsi="Times New Roman"/>
          <w:szCs w:val="24"/>
          <w:lang w:val="en-US" w:eastAsia="zh-CN"/>
        </w:rPr>
        <w:t>GB/T 15966</w:t>
      </w:r>
      <w:r>
        <w:rPr>
          <w:rFonts w:hint="eastAsia" w:ascii="Times New Roman" w:hAnsi="Times New Roman"/>
          <w:szCs w:val="24"/>
          <w:highlight w:val="none"/>
          <w:lang w:val="en-US" w:eastAsia="zh-CN"/>
        </w:rPr>
        <w:t>、</w:t>
      </w:r>
      <w:r>
        <w:rPr>
          <w:rFonts w:hint="eastAsia" w:ascii="Times New Roman" w:hAnsi="Times New Roman"/>
          <w:szCs w:val="24"/>
          <w:highlight w:val="none"/>
          <w:lang w:eastAsia="zh-CN"/>
        </w:rPr>
        <w:t>GB/T 30954</w:t>
      </w:r>
      <w:r>
        <w:rPr>
          <w:rFonts w:hint="eastAsia" w:ascii="Times New Roman" w:hAnsi="Times New Roman"/>
          <w:szCs w:val="24"/>
          <w:highlight w:val="none"/>
          <w:lang w:val="en-US" w:eastAsia="zh-CN"/>
        </w:rPr>
        <w:t>、SL 219</w:t>
      </w:r>
      <w:r>
        <w:rPr>
          <w:rFonts w:hint="eastAsia" w:ascii="Times New Roman" w:hAnsi="Times New Roman"/>
          <w:szCs w:val="24"/>
        </w:rPr>
        <w:t>界定的以及下列术语和定义适用于本文件。</w:t>
      </w:r>
    </w:p>
    <w:p w14:paraId="19824FC8">
      <w:pPr>
        <w:adjustRightInd/>
        <w:spacing w:line="240" w:lineRule="auto"/>
        <w:rPr>
          <w:rFonts w:ascii="Times New Roman" w:hAnsi="Times New Roman"/>
          <w:b/>
          <w:szCs w:val="24"/>
        </w:rPr>
      </w:pPr>
      <w:bookmarkStart w:id="30" w:name="_Toc3451"/>
      <w:bookmarkStart w:id="31" w:name="_Toc30657"/>
      <w:r>
        <w:rPr>
          <w:rFonts w:hint="eastAsia" w:ascii="Times New Roman" w:hAnsi="Times New Roman"/>
          <w:b/>
          <w:szCs w:val="24"/>
        </w:rPr>
        <w:t>3.1</w:t>
      </w:r>
    </w:p>
    <w:bookmarkEnd w:id="30"/>
    <w:bookmarkEnd w:id="31"/>
    <w:p w14:paraId="0D5F28D9">
      <w:pPr>
        <w:adjustRightInd/>
        <w:spacing w:line="360" w:lineRule="auto"/>
        <w:ind w:firstLine="420" w:firstLineChars="200"/>
        <w:rPr>
          <w:rFonts w:ascii="Times New Roman" w:hAnsi="Times New Roman"/>
          <w:szCs w:val="24"/>
        </w:rPr>
      </w:pPr>
      <w:r>
        <w:rPr>
          <w:rFonts w:hint="eastAsia" w:ascii="Times New Roman" w:hAnsi="Times New Roman"/>
          <w:szCs w:val="24"/>
        </w:rPr>
        <w:t>水网 water network</w:t>
      </w:r>
    </w:p>
    <w:p w14:paraId="3136B9FD">
      <w:pPr>
        <w:adjustRightInd/>
        <w:spacing w:after="120" w:line="360" w:lineRule="auto"/>
        <w:ind w:firstLine="420" w:firstLineChars="200"/>
        <w:rPr>
          <w:rFonts w:ascii="Times New Roman" w:hAnsi="Times New Roman"/>
          <w:szCs w:val="24"/>
          <w:highlight w:val="green"/>
        </w:rPr>
      </w:pPr>
      <w:r>
        <w:rPr>
          <w:rFonts w:hint="eastAsia" w:ascii="Times New Roman" w:hAnsi="Times New Roman"/>
          <w:szCs w:val="24"/>
        </w:rPr>
        <w:t>由自然水体（如河流、湖泊、水库、地下水体、近岸海域等）和人工水利设施（如渠道、泵站、水闸、供水管网、排水管网等）相互联通、共同构成的复杂水系统。</w:t>
      </w:r>
    </w:p>
    <w:p w14:paraId="32D22224">
      <w:pPr>
        <w:adjustRightInd/>
        <w:spacing w:line="240" w:lineRule="auto"/>
        <w:rPr>
          <w:rFonts w:ascii="Times New Roman" w:hAnsi="Times New Roman"/>
          <w:b/>
          <w:szCs w:val="24"/>
          <w:highlight w:val="none"/>
        </w:rPr>
      </w:pPr>
      <w:bookmarkStart w:id="32" w:name="_Toc85553243"/>
      <w:bookmarkEnd w:id="32"/>
      <w:bookmarkStart w:id="33" w:name="_Toc6358"/>
      <w:bookmarkStart w:id="34" w:name="_Toc5179"/>
      <w:r>
        <w:rPr>
          <w:rFonts w:hint="eastAsia" w:ascii="Times New Roman" w:hAnsi="Times New Roman"/>
          <w:b/>
          <w:szCs w:val="24"/>
          <w:highlight w:val="none"/>
        </w:rPr>
        <w:t>3.2</w:t>
      </w:r>
    </w:p>
    <w:bookmarkEnd w:id="33"/>
    <w:bookmarkEnd w:id="34"/>
    <w:p w14:paraId="5A0076F8">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数字孪生 digital twin</w:t>
      </w:r>
    </w:p>
    <w:p w14:paraId="7A0CC44C">
      <w:pPr>
        <w:adjustRightInd/>
        <w:spacing w:line="360" w:lineRule="auto"/>
        <w:ind w:firstLine="420" w:firstLineChars="200"/>
        <w:rPr>
          <w:rFonts w:hint="eastAsia" w:ascii="Times New Roman" w:hAnsi="Times New Roman" w:eastAsia="宋体"/>
          <w:szCs w:val="24"/>
          <w:highlight w:val="green"/>
          <w:lang w:eastAsia="zh-CN"/>
        </w:rPr>
      </w:pPr>
      <w:r>
        <w:rPr>
          <w:rFonts w:hint="eastAsia" w:ascii="Times New Roman" w:hAnsi="Times New Roman"/>
          <w:szCs w:val="24"/>
        </w:rPr>
        <w:t>以数字化方式创建物理实体的虚拟映射，通过历史数据、实时数据与算法模型的集成，实现对物理实体全生命周期的模拟、监控、诊断、预测和调控的信息系统</w:t>
      </w:r>
      <w:r>
        <w:rPr>
          <w:rFonts w:hint="eastAsia" w:ascii="Times New Roman" w:hAnsi="Times New Roman"/>
          <w:szCs w:val="24"/>
          <w:lang w:eastAsia="zh-CN"/>
        </w:rPr>
        <w:t>。</w:t>
      </w:r>
    </w:p>
    <w:p w14:paraId="02417FF9">
      <w:pPr>
        <w:adjustRightInd/>
        <w:spacing w:line="240" w:lineRule="auto"/>
        <w:rPr>
          <w:rFonts w:ascii="Times New Roman" w:hAnsi="Times New Roman"/>
          <w:b/>
          <w:szCs w:val="24"/>
          <w:highlight w:val="none"/>
        </w:rPr>
      </w:pPr>
      <w:bookmarkStart w:id="35" w:name="_Toc85553244"/>
      <w:bookmarkEnd w:id="35"/>
      <w:bookmarkStart w:id="36" w:name="_Toc27540"/>
      <w:bookmarkStart w:id="37" w:name="_Toc22665"/>
      <w:r>
        <w:rPr>
          <w:rFonts w:hint="eastAsia" w:ascii="Times New Roman" w:hAnsi="Times New Roman"/>
          <w:b/>
          <w:szCs w:val="24"/>
          <w:highlight w:val="none"/>
        </w:rPr>
        <w:t>3.3</w:t>
      </w:r>
    </w:p>
    <w:bookmarkEnd w:id="36"/>
    <w:bookmarkEnd w:id="37"/>
    <w:p w14:paraId="13302492">
      <w:pPr>
        <w:adjustRightInd/>
        <w:spacing w:line="360" w:lineRule="auto"/>
        <w:ind w:firstLine="420" w:firstLineChars="200"/>
        <w:rPr>
          <w:rFonts w:hint="eastAsia" w:ascii="Times New Roman" w:hAnsi="Times New Roman"/>
          <w:szCs w:val="24"/>
          <w:highlight w:val="none"/>
        </w:rPr>
      </w:pPr>
      <w:r>
        <w:rPr>
          <w:rFonts w:hint="eastAsia" w:ascii="Times New Roman" w:hAnsi="Times New Roman"/>
          <w:szCs w:val="24"/>
          <w:highlight w:val="none"/>
        </w:rPr>
        <w:t>数字孪生水网 digital twin water network​</w:t>
      </w:r>
    </w:p>
    <w:p w14:paraId="630E794C">
      <w:pPr>
        <w:adjustRightInd/>
        <w:spacing w:line="360" w:lineRule="auto"/>
        <w:ind w:firstLine="420" w:firstLineChars="200"/>
        <w:rPr>
          <w:rFonts w:hint="eastAsia" w:ascii="Times New Roman" w:hAnsi="Times New Roman" w:eastAsia="宋体"/>
          <w:szCs w:val="24"/>
          <w:highlight w:val="none"/>
          <w:lang w:eastAsia="zh-CN"/>
        </w:rPr>
      </w:pPr>
      <w:r>
        <w:rPr>
          <w:rFonts w:hint="eastAsia" w:ascii="Times New Roman" w:hAnsi="Times New Roman"/>
          <w:szCs w:val="24"/>
          <w:highlight w:val="none"/>
        </w:rPr>
        <w:t>基于天空地一体化监测数据、水利模型和业务规则，构建的与物理水网实时交互、虚实共生的虚拟水网系统。它是实现水网智能调度、安全管理、风险预警和科学决策的核心平台</w:t>
      </w:r>
      <w:r>
        <w:rPr>
          <w:rFonts w:hint="eastAsia" w:ascii="Times New Roman" w:hAnsi="Times New Roman"/>
          <w:szCs w:val="24"/>
          <w:highlight w:val="none"/>
          <w:lang w:eastAsia="zh-CN"/>
        </w:rPr>
        <w:t>。</w:t>
      </w:r>
    </w:p>
    <w:p w14:paraId="2BB428D5">
      <w:pPr>
        <w:adjustRightInd/>
        <w:spacing w:line="240" w:lineRule="auto"/>
        <w:rPr>
          <w:rFonts w:hint="eastAsia" w:ascii="Times New Roman" w:hAnsi="Times New Roman" w:eastAsia="宋体"/>
          <w:b/>
          <w:szCs w:val="24"/>
          <w:highlight w:val="none"/>
          <w:lang w:eastAsia="zh-CN"/>
        </w:rPr>
      </w:pPr>
      <w:bookmarkStart w:id="38" w:name="_Toc85553245"/>
      <w:bookmarkEnd w:id="38"/>
      <w:r>
        <w:rPr>
          <w:rFonts w:hint="eastAsia" w:ascii="Times New Roman" w:hAnsi="Times New Roman"/>
          <w:b/>
          <w:szCs w:val="24"/>
          <w:highlight w:val="none"/>
        </w:rPr>
        <w:t>3.</w:t>
      </w:r>
      <w:r>
        <w:rPr>
          <w:rFonts w:hint="eastAsia" w:ascii="Times New Roman" w:hAnsi="Times New Roman"/>
          <w:b/>
          <w:szCs w:val="24"/>
          <w:highlight w:val="none"/>
          <w:lang w:val="en-US" w:eastAsia="zh-CN"/>
        </w:rPr>
        <w:t>4</w:t>
      </w:r>
    </w:p>
    <w:p w14:paraId="5FC771A7">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天空地一体化监测 integrated sky-air-ground monitoring</w:t>
      </w:r>
    </w:p>
    <w:p w14:paraId="6701860E">
      <w:pPr>
        <w:adjustRightInd/>
        <w:spacing w:line="360" w:lineRule="auto"/>
        <w:ind w:firstLine="420" w:firstLineChars="200"/>
        <w:rPr>
          <w:rFonts w:hint="eastAsia" w:ascii="Times New Roman" w:hAnsi="Times New Roman" w:eastAsia="宋体"/>
          <w:szCs w:val="24"/>
          <w:highlight w:val="green"/>
          <w:lang w:eastAsia="zh-CN"/>
        </w:rPr>
      </w:pPr>
      <w:r>
        <w:rPr>
          <w:rFonts w:hint="eastAsia" w:ascii="Times New Roman" w:hAnsi="Times New Roman"/>
          <w:szCs w:val="24"/>
        </w:rPr>
        <w:t>综合利用天基平台、空基平台和地基平台，通过统一的标准协议和协同观测机制，对水网要素进行多尺度、多维度、全天候的立体感知与技术体系</w:t>
      </w:r>
      <w:r>
        <w:rPr>
          <w:rFonts w:hint="eastAsia" w:ascii="Times New Roman" w:hAnsi="Times New Roman"/>
          <w:szCs w:val="24"/>
          <w:lang w:eastAsia="zh-CN"/>
        </w:rPr>
        <w:t>。</w:t>
      </w:r>
    </w:p>
    <w:p w14:paraId="7B54255F">
      <w:pPr>
        <w:adjustRightInd/>
        <w:spacing w:line="240" w:lineRule="auto"/>
        <w:rPr>
          <w:rFonts w:hint="eastAsia" w:ascii="Times New Roman" w:hAnsi="Times New Roman" w:eastAsia="宋体"/>
          <w:b/>
          <w:szCs w:val="24"/>
          <w:highlight w:val="none"/>
          <w:lang w:eastAsia="zh-CN"/>
        </w:rPr>
      </w:pPr>
      <w:r>
        <w:rPr>
          <w:rFonts w:hint="eastAsia" w:ascii="Times New Roman" w:hAnsi="Times New Roman"/>
          <w:b/>
          <w:szCs w:val="24"/>
          <w:highlight w:val="none"/>
        </w:rPr>
        <w:t>3.</w:t>
      </w:r>
      <w:r>
        <w:rPr>
          <w:rFonts w:hint="eastAsia" w:ascii="Times New Roman" w:hAnsi="Times New Roman"/>
          <w:b/>
          <w:szCs w:val="24"/>
          <w:highlight w:val="none"/>
          <w:lang w:val="en-US" w:eastAsia="zh-CN"/>
        </w:rPr>
        <w:t>5</w:t>
      </w:r>
    </w:p>
    <w:p w14:paraId="6464201D">
      <w:pPr>
        <w:adjustRightInd/>
        <w:spacing w:line="360" w:lineRule="auto"/>
        <w:ind w:firstLine="420" w:firstLineChars="200"/>
        <w:rPr>
          <w:rFonts w:hint="eastAsia" w:ascii="Times New Roman" w:hAnsi="Times New Roman"/>
          <w:szCs w:val="24"/>
          <w:highlight w:val="none"/>
        </w:rPr>
      </w:pPr>
      <w:r>
        <w:rPr>
          <w:rFonts w:hint="eastAsia" w:ascii="Times New Roman" w:hAnsi="Times New Roman"/>
          <w:szCs w:val="24"/>
          <w:highlight w:val="none"/>
        </w:rPr>
        <w:t>智能监测 intelligent monitoring</w:t>
      </w:r>
    </w:p>
    <w:p w14:paraId="51A2F320">
      <w:pPr>
        <w:adjustRightInd/>
        <w:spacing w:line="360" w:lineRule="auto"/>
        <w:ind w:firstLine="420" w:firstLineChars="200"/>
        <w:rPr>
          <w:rFonts w:hint="eastAsia" w:ascii="Times New Roman" w:hAnsi="Times New Roman" w:eastAsia="宋体"/>
          <w:szCs w:val="24"/>
          <w:highlight w:val="none"/>
          <w:lang w:eastAsia="zh-CN"/>
        </w:rPr>
      </w:pPr>
      <w:r>
        <w:rPr>
          <w:rFonts w:hint="eastAsia" w:ascii="Times New Roman" w:hAnsi="Times New Roman"/>
          <w:szCs w:val="24"/>
          <w:highlight w:val="none"/>
        </w:rPr>
        <w:t>利用物联网、云计算、大数据、人工智能等先进技术，实现监测数据的自动采集、传输、处理、分析、挖掘、预警与决策支持，具备自感知、自诊断、自预测、自决策能力的监测模式</w:t>
      </w:r>
      <w:r>
        <w:rPr>
          <w:rFonts w:hint="eastAsia" w:ascii="Times New Roman" w:hAnsi="Times New Roman"/>
          <w:szCs w:val="24"/>
          <w:highlight w:val="none"/>
          <w:lang w:eastAsia="zh-CN"/>
        </w:rPr>
        <w:t>。</w:t>
      </w:r>
    </w:p>
    <w:p w14:paraId="1CD35E3C">
      <w:pPr>
        <w:adjustRightInd/>
        <w:spacing w:line="240" w:lineRule="auto"/>
        <w:rPr>
          <w:rFonts w:hint="eastAsia" w:ascii="Times New Roman" w:hAnsi="Times New Roman" w:eastAsia="宋体"/>
          <w:b/>
          <w:szCs w:val="24"/>
          <w:highlight w:val="none"/>
          <w:lang w:eastAsia="zh-CN"/>
        </w:rPr>
      </w:pPr>
      <w:bookmarkStart w:id="39" w:name="_Toc18827"/>
      <w:bookmarkStart w:id="40" w:name="_Toc4076"/>
      <w:r>
        <w:rPr>
          <w:rFonts w:hint="eastAsia" w:ascii="Times New Roman" w:hAnsi="Times New Roman"/>
          <w:b/>
          <w:szCs w:val="24"/>
          <w:highlight w:val="none"/>
        </w:rPr>
        <w:t>3.</w:t>
      </w:r>
      <w:r>
        <w:rPr>
          <w:rFonts w:hint="eastAsia" w:ascii="Times New Roman" w:hAnsi="Times New Roman"/>
          <w:b/>
          <w:szCs w:val="24"/>
          <w:highlight w:val="none"/>
          <w:lang w:val="en-US" w:eastAsia="zh-CN"/>
        </w:rPr>
        <w:t>6</w:t>
      </w:r>
    </w:p>
    <w:bookmarkEnd w:id="39"/>
    <w:bookmarkEnd w:id="40"/>
    <w:p w14:paraId="530CE89D">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天基监测 space-based monitoring</w:t>
      </w:r>
    </w:p>
    <w:p w14:paraId="2C7E6ED0">
      <w:pPr>
        <w:adjustRightInd/>
        <w:spacing w:line="360" w:lineRule="auto"/>
        <w:ind w:firstLine="420" w:firstLineChars="200"/>
        <w:rPr>
          <w:rFonts w:ascii="Times New Roman" w:hAnsi="Times New Roman"/>
          <w:szCs w:val="24"/>
          <w:highlight w:val="none"/>
        </w:rPr>
      </w:pPr>
      <w:r>
        <w:rPr>
          <w:rFonts w:hint="eastAsia" w:ascii="Times New Roman" w:hAnsi="Times New Roman"/>
          <w:szCs w:val="24"/>
        </w:rPr>
        <w:t>利用地球观测卫星、导航卫星等空间平台搭载的各类传感器（如多光谱、高光谱、合成孔径雷达等），对水网要素进行大范围、周期性遥感观测的技术</w:t>
      </w:r>
      <w:r>
        <w:rPr>
          <w:rFonts w:ascii="Times New Roman" w:hAnsi="Times New Roman"/>
          <w:szCs w:val="24"/>
          <w:highlight w:val="none"/>
        </w:rPr>
        <w:t>。</w:t>
      </w:r>
    </w:p>
    <w:p w14:paraId="12ACDB58">
      <w:pPr>
        <w:adjustRightInd/>
        <w:spacing w:line="240" w:lineRule="auto"/>
        <w:rPr>
          <w:rFonts w:hint="eastAsia" w:ascii="Times New Roman" w:hAnsi="Times New Roman" w:eastAsia="宋体"/>
          <w:b/>
          <w:szCs w:val="24"/>
          <w:highlight w:val="none"/>
          <w:lang w:eastAsia="zh-CN"/>
        </w:rPr>
      </w:pPr>
      <w:bookmarkStart w:id="41" w:name="_Toc85553246"/>
      <w:bookmarkEnd w:id="41"/>
      <w:bookmarkStart w:id="42" w:name="_Toc23396"/>
      <w:bookmarkStart w:id="43" w:name="_Toc7210"/>
      <w:r>
        <w:rPr>
          <w:rFonts w:hint="eastAsia" w:ascii="Times New Roman" w:hAnsi="Times New Roman"/>
          <w:b/>
          <w:szCs w:val="24"/>
          <w:highlight w:val="none"/>
        </w:rPr>
        <w:t>3.</w:t>
      </w:r>
      <w:r>
        <w:rPr>
          <w:rFonts w:hint="eastAsia" w:ascii="Times New Roman" w:hAnsi="Times New Roman"/>
          <w:b/>
          <w:szCs w:val="24"/>
          <w:highlight w:val="none"/>
          <w:lang w:val="en-US" w:eastAsia="zh-CN"/>
        </w:rPr>
        <w:t>7</w:t>
      </w:r>
    </w:p>
    <w:bookmarkEnd w:id="42"/>
    <w:bookmarkEnd w:id="43"/>
    <w:p w14:paraId="7D8CBD90">
      <w:pPr>
        <w:adjustRightInd/>
        <w:spacing w:line="360" w:lineRule="auto"/>
        <w:ind w:firstLine="420" w:firstLineChars="200"/>
        <w:rPr>
          <w:rFonts w:hint="eastAsia" w:ascii="Times New Roman" w:hAnsi="Times New Roman"/>
          <w:szCs w:val="24"/>
          <w:highlight w:val="none"/>
        </w:rPr>
      </w:pPr>
      <w:r>
        <w:rPr>
          <w:rFonts w:hint="eastAsia" w:ascii="Times New Roman" w:hAnsi="Times New Roman"/>
          <w:szCs w:val="24"/>
          <w:highlight w:val="none"/>
        </w:rPr>
        <w:t>空基监测 air-based monitoring</w:t>
      </w:r>
    </w:p>
    <w:p w14:paraId="5E940284">
      <w:pPr>
        <w:adjustRightInd/>
        <w:spacing w:line="360" w:lineRule="auto"/>
        <w:ind w:firstLine="420" w:firstLineChars="200"/>
        <w:rPr>
          <w:rFonts w:ascii="Times New Roman" w:hAnsi="Times New Roman"/>
          <w:szCs w:val="24"/>
          <w:highlight w:val="none"/>
        </w:rPr>
      </w:pPr>
      <w:r>
        <w:rPr>
          <w:rFonts w:hint="eastAsia" w:ascii="Times New Roman" w:hAnsi="Times New Roman"/>
          <w:szCs w:val="24"/>
          <w:highlight w:val="none"/>
        </w:rPr>
        <w:t>利用无人机、有人机、飞艇等航空遥感平台，搭载光学、激光、光谱等传感器，对水网要素进行机动、高精度、高分辨率遥感监测的技术。</w:t>
      </w:r>
    </w:p>
    <w:p w14:paraId="5434B605">
      <w:pPr>
        <w:adjustRightInd/>
        <w:spacing w:line="240" w:lineRule="auto"/>
        <w:rPr>
          <w:rFonts w:hint="eastAsia" w:ascii="Times New Roman" w:hAnsi="Times New Roman" w:eastAsia="宋体"/>
          <w:b/>
          <w:szCs w:val="24"/>
          <w:highlight w:val="none"/>
          <w:lang w:eastAsia="zh-CN"/>
        </w:rPr>
      </w:pPr>
      <w:bookmarkStart w:id="44" w:name="_Toc85553247"/>
      <w:bookmarkEnd w:id="44"/>
      <w:bookmarkStart w:id="45" w:name="_Toc25166"/>
      <w:bookmarkStart w:id="46" w:name="_Toc22449"/>
      <w:r>
        <w:rPr>
          <w:rFonts w:hint="eastAsia" w:ascii="Times New Roman" w:hAnsi="Times New Roman"/>
          <w:b/>
          <w:szCs w:val="24"/>
          <w:highlight w:val="none"/>
        </w:rPr>
        <w:t>3.</w:t>
      </w:r>
      <w:r>
        <w:rPr>
          <w:rFonts w:hint="eastAsia" w:ascii="Times New Roman" w:hAnsi="Times New Roman"/>
          <w:b/>
          <w:szCs w:val="24"/>
          <w:highlight w:val="none"/>
          <w:lang w:val="en-US" w:eastAsia="zh-CN"/>
        </w:rPr>
        <w:t>8</w:t>
      </w:r>
    </w:p>
    <w:bookmarkEnd w:id="45"/>
    <w:bookmarkEnd w:id="46"/>
    <w:p w14:paraId="5EFC5178">
      <w:pPr>
        <w:adjustRightInd/>
        <w:spacing w:line="360" w:lineRule="auto"/>
        <w:ind w:firstLine="420" w:firstLineChars="200"/>
        <w:rPr>
          <w:rFonts w:hint="eastAsia" w:ascii="Times New Roman" w:hAnsi="Times New Roman"/>
          <w:szCs w:val="24"/>
          <w:highlight w:val="none"/>
        </w:rPr>
      </w:pPr>
      <w:bookmarkStart w:id="47" w:name="_Toc85553248"/>
      <w:bookmarkEnd w:id="47"/>
      <w:r>
        <w:rPr>
          <w:rFonts w:hint="eastAsia" w:ascii="Times New Roman" w:hAnsi="Times New Roman"/>
          <w:szCs w:val="24"/>
          <w:highlight w:val="none"/>
        </w:rPr>
        <w:t>地基监测 ground-based monitoring</w:t>
      </w:r>
    </w:p>
    <w:p w14:paraId="20ABEAB6">
      <w:pPr>
        <w:adjustRightInd/>
        <w:spacing w:line="360" w:lineRule="auto"/>
        <w:ind w:firstLine="420" w:firstLineChars="200"/>
        <w:rPr>
          <w:rFonts w:hint="eastAsia" w:ascii="Times New Roman" w:hAnsi="Times New Roman"/>
          <w:szCs w:val="24"/>
          <w:highlight w:val="none"/>
        </w:rPr>
      </w:pPr>
      <w:r>
        <w:rPr>
          <w:rFonts w:hint="eastAsia" w:ascii="Times New Roman" w:hAnsi="Times New Roman"/>
          <w:szCs w:val="24"/>
          <w:highlight w:val="none"/>
        </w:rPr>
        <w:t>利用布设在水网区域的地面传感器、自动监测站、移动巡测设备、摄像头等，对水网要素进行连续、原位、高精度测量的技术。</w:t>
      </w:r>
      <w:bookmarkStart w:id="48" w:name="_Toc85553249"/>
      <w:bookmarkEnd w:id="48"/>
    </w:p>
    <w:p w14:paraId="501CB69E">
      <w:pPr>
        <w:adjustRightInd/>
        <w:spacing w:line="240" w:lineRule="auto"/>
        <w:rPr>
          <w:rFonts w:hint="eastAsia" w:ascii="Times New Roman" w:hAnsi="Times New Roman" w:eastAsia="宋体"/>
          <w:b/>
          <w:szCs w:val="24"/>
          <w:highlight w:val="none"/>
          <w:lang w:val="en-US" w:eastAsia="zh-CN"/>
        </w:rPr>
      </w:pPr>
      <w:r>
        <w:rPr>
          <w:rFonts w:hint="eastAsia" w:ascii="Times New Roman" w:hAnsi="Times New Roman"/>
          <w:b/>
          <w:szCs w:val="24"/>
          <w:highlight w:val="none"/>
        </w:rPr>
        <w:t>3.</w:t>
      </w:r>
      <w:r>
        <w:rPr>
          <w:rFonts w:hint="eastAsia" w:ascii="Times New Roman" w:hAnsi="Times New Roman"/>
          <w:b/>
          <w:szCs w:val="24"/>
          <w:highlight w:val="none"/>
          <w:lang w:val="en-US" w:eastAsia="zh-CN"/>
        </w:rPr>
        <w:t>9</w:t>
      </w:r>
    </w:p>
    <w:p w14:paraId="580EB3F9">
      <w:pPr>
        <w:adjustRightInd/>
        <w:spacing w:line="360" w:lineRule="auto"/>
        <w:ind w:firstLine="420" w:firstLineChars="200"/>
        <w:rPr>
          <w:rFonts w:hint="eastAsia" w:ascii="Times New Roman" w:hAnsi="Times New Roman"/>
          <w:szCs w:val="24"/>
          <w:highlight w:val="none"/>
          <w:lang w:eastAsia="zh-CN"/>
        </w:rPr>
      </w:pPr>
      <w:r>
        <w:rPr>
          <w:rFonts w:hint="eastAsia" w:ascii="Times New Roman" w:hAnsi="Times New Roman"/>
          <w:szCs w:val="24"/>
          <w:highlight w:val="none"/>
          <w:lang w:eastAsia="zh-CN"/>
        </w:rPr>
        <w:t>决定系数 coefficient of determination (R²)</w:t>
      </w:r>
    </w:p>
    <w:p w14:paraId="567FCB27">
      <w:pPr>
        <w:adjustRightInd/>
        <w:spacing w:line="360" w:lineRule="auto"/>
        <w:ind w:firstLine="420" w:firstLineChars="200"/>
        <w:rPr>
          <w:rFonts w:hint="eastAsia" w:ascii="Times New Roman" w:hAnsi="Times New Roman"/>
          <w:szCs w:val="24"/>
          <w:highlight w:val="none"/>
          <w:lang w:eastAsia="zh-CN"/>
        </w:rPr>
      </w:pPr>
      <w:r>
        <w:rPr>
          <w:rFonts w:hint="eastAsia" w:ascii="Times New Roman" w:hAnsi="Times New Roman"/>
          <w:szCs w:val="24"/>
          <w:highlight w:val="none"/>
          <w:lang w:val="en-US" w:eastAsia="zh-CN"/>
        </w:rPr>
        <w:t>回归预测模型中，用于量化模型对观测值拟合程度的统计指标。</w:t>
      </w:r>
    </w:p>
    <w:p w14:paraId="3BD58159">
      <w:pPr>
        <w:keepNext/>
        <w:keepLines/>
        <w:pageBreakBefore w:val="0"/>
        <w:widowControl w:val="0"/>
        <w:numPr>
          <w:ilvl w:val="0"/>
          <w:numId w:val="32"/>
        </w:numPr>
        <w:kinsoku/>
        <w:wordWrap/>
        <w:overflowPunct/>
        <w:topLinePunct w:val="0"/>
        <w:autoSpaceDE/>
        <w:autoSpaceDN/>
        <w:bidi w:val="0"/>
        <w:adjustRightInd/>
        <w:snapToGrid/>
        <w:spacing w:before="313" w:beforeLines="100" w:after="313" w:afterLines="100" w:line="240" w:lineRule="auto"/>
        <w:ind w:left="363" w:leftChars="0" w:hanging="363" w:firstLineChars="0"/>
        <w:textAlignment w:val="auto"/>
        <w:outlineLvl w:val="0"/>
        <w:rPr>
          <w:rFonts w:hint="eastAsia" w:ascii="Times New Roman" w:hAnsi="Times New Roman" w:eastAsia="黑体"/>
          <w:b/>
          <w:bCs w:val="0"/>
          <w:kern w:val="44"/>
          <w:lang w:val="en-US" w:eastAsia="zh-CN"/>
        </w:rPr>
      </w:pPr>
      <w:bookmarkStart w:id="49" w:name="_Toc85553250"/>
      <w:bookmarkEnd w:id="49"/>
      <w:bookmarkStart w:id="50" w:name="_Toc23192"/>
      <w:r>
        <w:rPr>
          <w:rFonts w:hint="eastAsia" w:ascii="Times New Roman" w:hAnsi="Times New Roman" w:eastAsia="黑体"/>
          <w:b/>
          <w:bCs w:val="0"/>
          <w:kern w:val="44"/>
          <w:lang w:val="en-US" w:eastAsia="zh-CN"/>
        </w:rPr>
        <w:t>总体要求</w:t>
      </w:r>
      <w:bookmarkEnd w:id="50"/>
    </w:p>
    <w:p w14:paraId="36CB14C7">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kern w:val="21"/>
        </w:rPr>
      </w:pPr>
      <w:bookmarkStart w:id="51" w:name="_Toc15337"/>
      <w:r>
        <w:rPr>
          <w:rFonts w:hint="eastAsia" w:ascii="Times New Roman" w:hAnsi="Times New Roman" w:eastAsia="黑体" w:cs="黑体"/>
          <w:b/>
          <w:bCs/>
          <w:kern w:val="21"/>
        </w:rPr>
        <w:t xml:space="preserve">4.1 </w:t>
      </w:r>
      <w:r>
        <w:rPr>
          <w:rFonts w:hint="eastAsia" w:ascii="Times New Roman" w:hAnsi="Times New Roman" w:eastAsia="黑体" w:cs="黑体"/>
          <w:b/>
          <w:bCs/>
          <w:kern w:val="21"/>
          <w:lang w:val="en-US" w:eastAsia="zh-CN"/>
        </w:rPr>
        <w:t xml:space="preserve"> </w:t>
      </w:r>
      <w:r>
        <w:rPr>
          <w:rFonts w:hint="eastAsia" w:ascii="Times New Roman" w:hAnsi="Times New Roman" w:eastAsia="黑体" w:cs="黑体"/>
          <w:b w:val="0"/>
          <w:bCs w:val="0"/>
          <w:kern w:val="21"/>
        </w:rPr>
        <w:t>系统架构</w:t>
      </w:r>
      <w:bookmarkEnd w:id="51"/>
    </w:p>
    <w:p w14:paraId="3094E0EB">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水网天空地一体化智能监测系统是构建数字孪生水网的感知神经和数据基础，其系统架构应服务于数字孪生水网的构建与运行，主要包括以下层次：</w:t>
      </w:r>
    </w:p>
    <w:p w14:paraId="6D2F7D18">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rPr>
        <w:t>a) 感知层：数字孪生水网的数据来源和感知神经</w:t>
      </w:r>
      <w:r>
        <w:rPr>
          <w:rFonts w:hint="eastAsia" w:ascii="Times New Roman" w:hAnsi="Times New Roman"/>
          <w:szCs w:val="24"/>
          <w:lang w:eastAsia="zh-CN"/>
        </w:rPr>
        <w:t>，</w:t>
      </w:r>
      <w:r>
        <w:rPr>
          <w:rFonts w:hint="eastAsia" w:ascii="Times New Roman" w:hAnsi="Times New Roman"/>
          <w:szCs w:val="24"/>
        </w:rPr>
        <w:t>由天基、空基、地基各类监测终端构成，负责实时采集物理水网的多元状态数据</w:t>
      </w:r>
      <w:r>
        <w:rPr>
          <w:rFonts w:hint="eastAsia" w:ascii="Times New Roman" w:hAnsi="Times New Roman"/>
          <w:szCs w:val="24"/>
          <w:lang w:eastAsia="zh-CN"/>
        </w:rPr>
        <w:t>；</w:t>
      </w:r>
    </w:p>
    <w:p w14:paraId="35AD20FB">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rPr>
        <w:t>b) 传输层：由有线/无线通信网络、卫星通信链路等构成，负责将感知层数据安全、可靠地传输至平台层</w:t>
      </w:r>
      <w:r>
        <w:rPr>
          <w:rFonts w:hint="eastAsia" w:ascii="Times New Roman" w:hAnsi="Times New Roman"/>
          <w:szCs w:val="24"/>
          <w:lang w:eastAsia="zh-CN"/>
        </w:rPr>
        <w:t>；</w:t>
      </w:r>
    </w:p>
    <w:p w14:paraId="2932DBB3">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rPr>
        <w:t>c) 孪生层：数字孪生水网的核心</w:t>
      </w:r>
      <w:r>
        <w:rPr>
          <w:rFonts w:hint="eastAsia" w:ascii="Times New Roman" w:hAnsi="Times New Roman"/>
          <w:szCs w:val="24"/>
          <w:lang w:eastAsia="zh-CN"/>
        </w:rPr>
        <w:t>，</w:t>
      </w:r>
      <w:r>
        <w:rPr>
          <w:rFonts w:hint="eastAsia" w:ascii="Times New Roman" w:hAnsi="Times New Roman"/>
          <w:szCs w:val="24"/>
        </w:rPr>
        <w:t>由数据资源中心、算法模型库、水利专业模型、人工智能引擎、仿真模拟引擎等构</w:t>
      </w:r>
      <w:r>
        <w:rPr>
          <w:rFonts w:hint="eastAsia" w:ascii="Times New Roman" w:hAnsi="Times New Roman"/>
          <w:szCs w:val="24"/>
          <w:lang w:eastAsia="zh-CN"/>
        </w:rPr>
        <w:t>，</w:t>
      </w:r>
      <w:r>
        <w:rPr>
          <w:rFonts w:hint="eastAsia" w:ascii="Times New Roman" w:hAnsi="Times New Roman"/>
          <w:szCs w:val="24"/>
        </w:rPr>
        <w:t>。负责对多源异构数据进行融合治理，驱动水网模型进行实时模拟、情景推演、因果分析和虚拟映射</w:t>
      </w:r>
      <w:r>
        <w:rPr>
          <w:rFonts w:hint="eastAsia" w:ascii="Times New Roman" w:hAnsi="Times New Roman"/>
          <w:szCs w:val="24"/>
          <w:lang w:eastAsia="zh-CN"/>
        </w:rPr>
        <w:t>；</w:t>
      </w:r>
    </w:p>
    <w:p w14:paraId="5FC3DCE7">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d) 应用层：基于孪生层提供的模拟推演、预警预报和决策支持服务，面向水资源管理、水环境保护、水灾害防御、水工程安全等业务场景，提供智能应用，实现物理水网的智能调控和优化决策。</w:t>
      </w:r>
    </w:p>
    <w:p w14:paraId="679CFDD2">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kern w:val="21"/>
        </w:rPr>
      </w:pPr>
      <w:bookmarkStart w:id="52" w:name="_Toc29771"/>
      <w:r>
        <w:rPr>
          <w:rFonts w:hint="eastAsia" w:ascii="Times New Roman" w:hAnsi="Times New Roman" w:eastAsia="黑体" w:cs="黑体"/>
          <w:b/>
          <w:bCs/>
          <w:kern w:val="21"/>
        </w:rPr>
        <w:t xml:space="preserve">4.2 </w:t>
      </w:r>
      <w:r>
        <w:rPr>
          <w:rFonts w:hint="eastAsia" w:ascii="Times New Roman" w:hAnsi="Times New Roman" w:eastAsia="黑体" w:cs="黑体"/>
          <w:b/>
          <w:bCs/>
          <w:kern w:val="21"/>
          <w:lang w:val="en-US" w:eastAsia="zh-CN"/>
        </w:rPr>
        <w:t xml:space="preserve"> </w:t>
      </w:r>
      <w:r>
        <w:rPr>
          <w:rFonts w:hint="eastAsia" w:ascii="Times New Roman" w:hAnsi="Times New Roman" w:eastAsia="黑体" w:cs="黑体"/>
          <w:b w:val="0"/>
          <w:bCs w:val="0"/>
          <w:kern w:val="21"/>
        </w:rPr>
        <w:t>协同观测原则</w:t>
      </w:r>
      <w:bookmarkEnd w:id="52"/>
    </w:p>
    <w:p w14:paraId="3F8686AE">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系统应遵循以下协同观测原则：</w:t>
      </w:r>
    </w:p>
    <w:p w14:paraId="1FB0AAFC">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rPr>
        <w:t>a) 多平台协同</w:t>
      </w:r>
      <w:r>
        <w:rPr>
          <w:rFonts w:hint="eastAsia" w:ascii="Times New Roman" w:hAnsi="Times New Roman"/>
          <w:szCs w:val="24"/>
          <w:lang w:eastAsia="zh-CN"/>
        </w:rPr>
        <w:t>原则</w:t>
      </w:r>
      <w:r>
        <w:rPr>
          <w:rFonts w:hint="eastAsia" w:ascii="Times New Roman" w:hAnsi="Times New Roman"/>
          <w:szCs w:val="24"/>
        </w:rPr>
        <w:t>：应根据监测目标的时空尺度、精度要求和响应速度，优化配置天基、空基、地基监测资源，实现优势互补</w:t>
      </w:r>
      <w:r>
        <w:rPr>
          <w:rFonts w:hint="eastAsia" w:ascii="Times New Roman" w:hAnsi="Times New Roman"/>
          <w:szCs w:val="24"/>
          <w:lang w:eastAsia="zh-CN"/>
        </w:rPr>
        <w:t>；</w:t>
      </w:r>
    </w:p>
    <w:p w14:paraId="610DCB3F">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rPr>
        <w:t>b) 多尺度互补</w:t>
      </w:r>
      <w:r>
        <w:rPr>
          <w:rFonts w:hint="eastAsia" w:ascii="Times New Roman" w:hAnsi="Times New Roman"/>
          <w:szCs w:val="24"/>
          <w:lang w:eastAsia="zh-CN"/>
        </w:rPr>
        <w:t>原则</w:t>
      </w:r>
      <w:r>
        <w:rPr>
          <w:rFonts w:hint="eastAsia" w:ascii="Times New Roman" w:hAnsi="Times New Roman"/>
          <w:szCs w:val="24"/>
        </w:rPr>
        <w:t>：天基监测宏观尺度、空基监测中观尺度、地基监测微观尺度，三者应有机结合，形成从流域到点位的立体感知能力</w:t>
      </w:r>
      <w:r>
        <w:rPr>
          <w:rFonts w:hint="eastAsia" w:ascii="Times New Roman" w:hAnsi="Times New Roman"/>
          <w:szCs w:val="24"/>
          <w:lang w:eastAsia="zh-CN"/>
        </w:rPr>
        <w:t>；</w:t>
      </w:r>
    </w:p>
    <w:p w14:paraId="335509A3">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c) 多时序结合</w:t>
      </w:r>
      <w:r>
        <w:rPr>
          <w:rFonts w:hint="eastAsia" w:ascii="Times New Roman" w:hAnsi="Times New Roman"/>
          <w:szCs w:val="24"/>
          <w:lang w:eastAsia="zh-CN"/>
        </w:rPr>
        <w:t>原则</w:t>
      </w:r>
      <w:r>
        <w:rPr>
          <w:rFonts w:hint="eastAsia" w:ascii="Times New Roman" w:hAnsi="Times New Roman"/>
          <w:szCs w:val="24"/>
        </w:rPr>
        <w:t>：综合利用高频次（如地基实时监测）、中频次（如空基应急监测）和低频次（如天基周期性普查）数据，构建完整的时间序列，支撑趋势分析和动态追踪。</w:t>
      </w:r>
    </w:p>
    <w:p w14:paraId="50B9F929">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kern w:val="21"/>
        </w:rPr>
      </w:pPr>
      <w:bookmarkStart w:id="53" w:name="_Toc12308"/>
      <w:r>
        <w:rPr>
          <w:rFonts w:hint="eastAsia" w:ascii="Times New Roman" w:hAnsi="Times New Roman" w:eastAsia="黑体" w:cs="黑体"/>
          <w:b/>
          <w:bCs/>
          <w:kern w:val="21"/>
        </w:rPr>
        <w:t xml:space="preserve">4.3 </w:t>
      </w:r>
      <w:r>
        <w:rPr>
          <w:rFonts w:hint="eastAsia" w:ascii="Times New Roman" w:hAnsi="Times New Roman" w:eastAsia="黑体" w:cs="黑体"/>
          <w:b/>
          <w:bCs/>
          <w:kern w:val="21"/>
          <w:lang w:val="en-US" w:eastAsia="zh-CN"/>
        </w:rPr>
        <w:t xml:space="preserve"> </w:t>
      </w:r>
      <w:r>
        <w:rPr>
          <w:rFonts w:hint="eastAsia" w:ascii="Times New Roman" w:hAnsi="Times New Roman" w:eastAsia="黑体" w:cs="黑体"/>
          <w:b w:val="0"/>
          <w:bCs w:val="0"/>
          <w:kern w:val="21"/>
        </w:rPr>
        <w:t>系统性能要求</w:t>
      </w:r>
      <w:bookmarkEnd w:id="53"/>
    </w:p>
    <w:p w14:paraId="516B1155">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系统整体性能应满足以下要求：</w:t>
      </w:r>
    </w:p>
    <w:p w14:paraId="03CACB4F">
      <w:pPr>
        <w:adjustRightInd/>
        <w:spacing w:line="360" w:lineRule="auto"/>
        <w:ind w:firstLine="420" w:firstLineChars="200"/>
        <w:rPr>
          <w:rFonts w:hint="eastAsia" w:ascii="Times New Roman" w:hAnsi="Times New Roman" w:eastAsia="宋体"/>
          <w:szCs w:val="24"/>
          <w:highlight w:val="none"/>
          <w:lang w:eastAsia="zh-CN"/>
        </w:rPr>
      </w:pPr>
      <w:r>
        <w:rPr>
          <w:rFonts w:hint="eastAsia" w:ascii="Times New Roman" w:hAnsi="Times New Roman"/>
          <w:szCs w:val="24"/>
        </w:rPr>
        <w:t>a) 可靠性：</w:t>
      </w:r>
      <w:r>
        <w:rPr>
          <w:rFonts w:hint="eastAsia" w:ascii="Times New Roman" w:hAnsi="Times New Roman"/>
          <w:szCs w:val="24"/>
          <w:lang w:eastAsia="zh-CN"/>
        </w:rPr>
        <w:t>各监测设备应符合</w:t>
      </w:r>
      <w:r>
        <w:rPr>
          <w:rFonts w:hint="eastAsia" w:ascii="Times New Roman" w:hAnsi="Times New Roman"/>
          <w:szCs w:val="24"/>
        </w:rPr>
        <w:t>GB/T 30954</w:t>
      </w:r>
      <w:r>
        <w:rPr>
          <w:rFonts w:hint="eastAsia" w:ascii="Times New Roman" w:hAnsi="Times New Roman"/>
          <w:szCs w:val="24"/>
          <w:lang w:eastAsia="zh-CN"/>
        </w:rPr>
        <w:t>和</w:t>
      </w:r>
      <w:r>
        <w:rPr>
          <w:rFonts w:hint="eastAsia" w:ascii="Times New Roman" w:hAnsi="Times New Roman"/>
          <w:szCs w:val="24"/>
        </w:rPr>
        <w:t>GB/T 15966</w:t>
      </w:r>
      <w:r>
        <w:rPr>
          <w:rFonts w:hint="eastAsia" w:ascii="Times New Roman" w:hAnsi="Times New Roman"/>
          <w:szCs w:val="24"/>
          <w:lang w:eastAsia="zh-CN"/>
        </w:rPr>
        <w:t>的相关规定，</w:t>
      </w:r>
      <w:r>
        <w:rPr>
          <w:rFonts w:hint="eastAsia" w:ascii="Times New Roman" w:hAnsi="Times New Roman"/>
          <w:szCs w:val="24"/>
        </w:rPr>
        <w:t>系统平均无故障工作时间（MTBF）应不</w:t>
      </w:r>
      <w:r>
        <w:rPr>
          <w:rFonts w:hint="eastAsia" w:ascii="Times New Roman" w:hAnsi="Times New Roman"/>
          <w:szCs w:val="24"/>
          <w:highlight w:val="none"/>
        </w:rPr>
        <w:t>低于2000</w:t>
      </w:r>
      <w:r>
        <w:rPr>
          <w:rFonts w:hint="eastAsia" w:ascii="Times New Roman" w:hAnsi="Times New Roman"/>
          <w:szCs w:val="24"/>
          <w:highlight w:val="none"/>
          <w:lang w:eastAsia="zh-CN"/>
        </w:rPr>
        <w:t>h；</w:t>
      </w:r>
    </w:p>
    <w:p w14:paraId="4137D378">
      <w:pPr>
        <w:adjustRightInd/>
        <w:spacing w:line="360" w:lineRule="auto"/>
        <w:ind w:firstLine="420" w:firstLineChars="200"/>
        <w:rPr>
          <w:rFonts w:hint="eastAsia" w:ascii="Times New Roman" w:hAnsi="Times New Roman" w:eastAsia="宋体"/>
          <w:szCs w:val="24"/>
          <w:highlight w:val="none"/>
          <w:lang w:eastAsia="zh-CN"/>
        </w:rPr>
      </w:pPr>
      <w:r>
        <w:rPr>
          <w:rFonts w:hint="eastAsia" w:ascii="Times New Roman" w:hAnsi="Times New Roman"/>
          <w:szCs w:val="24"/>
          <w:highlight w:val="none"/>
        </w:rPr>
        <w:t>b) 准确性：监测数据精度应满足GB/T 50138及其他相应要素的行业测量规范要求。遥感反演产品</w:t>
      </w:r>
      <w:r>
        <w:rPr>
          <w:rFonts w:hint="eastAsia" w:ascii="Times New Roman" w:hAnsi="Times New Roman"/>
          <w:szCs w:val="24"/>
          <w:highlight w:val="none"/>
          <w:lang w:eastAsia="zh-CN"/>
        </w:rPr>
        <w:t>应</w:t>
      </w:r>
      <w:r>
        <w:rPr>
          <w:rFonts w:hint="eastAsia" w:ascii="Times New Roman" w:hAnsi="Times New Roman"/>
          <w:szCs w:val="24"/>
          <w:highlight w:val="none"/>
        </w:rPr>
        <w:t>利用地基数据进行验证，关键参数反演结果与实地测量值的决定系数（R²）不宜低于0.7</w:t>
      </w:r>
      <w:r>
        <w:rPr>
          <w:rFonts w:hint="eastAsia" w:ascii="Times New Roman" w:hAnsi="Times New Roman"/>
          <w:szCs w:val="24"/>
          <w:highlight w:val="none"/>
          <w:lang w:eastAsia="zh-CN"/>
        </w:rPr>
        <w:t>；</w:t>
      </w:r>
    </w:p>
    <w:p w14:paraId="5B59BFFF">
      <w:pPr>
        <w:adjustRightInd/>
        <w:spacing w:line="360" w:lineRule="auto"/>
        <w:ind w:firstLine="420" w:firstLineChars="200"/>
        <w:rPr>
          <w:rFonts w:hint="eastAsia" w:ascii="Times New Roman" w:hAnsi="Times New Roman" w:eastAsia="宋体"/>
          <w:szCs w:val="24"/>
          <w:highlight w:val="none"/>
          <w:lang w:eastAsia="zh-CN"/>
        </w:rPr>
      </w:pPr>
      <w:r>
        <w:rPr>
          <w:rFonts w:hint="eastAsia" w:ascii="Times New Roman" w:hAnsi="Times New Roman"/>
          <w:szCs w:val="24"/>
          <w:highlight w:val="none"/>
        </w:rPr>
        <w:t>c) 实时性：地基监测数据从采集到传输至中心平台的时间延迟应小于5</w:t>
      </w:r>
      <w:r>
        <w:rPr>
          <w:rFonts w:hint="eastAsia" w:ascii="Times New Roman" w:hAnsi="Times New Roman"/>
          <w:szCs w:val="24"/>
          <w:highlight w:val="none"/>
          <w:lang w:eastAsia="zh-CN"/>
        </w:rPr>
        <w:t>min</w:t>
      </w:r>
      <w:r>
        <w:rPr>
          <w:rFonts w:hint="eastAsia" w:ascii="Times New Roman" w:hAnsi="Times New Roman"/>
          <w:szCs w:val="24"/>
          <w:highlight w:val="none"/>
        </w:rPr>
        <w:t>；应急空基监测数据获取与处理时间应小于2</w:t>
      </w:r>
      <w:r>
        <w:rPr>
          <w:rFonts w:hint="eastAsia" w:ascii="Times New Roman" w:hAnsi="Times New Roman"/>
          <w:szCs w:val="24"/>
          <w:highlight w:val="none"/>
          <w:lang w:eastAsia="zh-CN"/>
        </w:rPr>
        <w:t>h；</w:t>
      </w:r>
    </w:p>
    <w:p w14:paraId="142B305F">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d) 开放性：系统应采用标准化的接口和协议（如SL/T 651、OGC WMS/WFS服务</w:t>
      </w:r>
      <w:r>
        <w:rPr>
          <w:rFonts w:hint="eastAsia" w:ascii="Times New Roman" w:hAnsi="Times New Roman"/>
          <w:szCs w:val="24"/>
          <w:lang w:eastAsia="zh-CN"/>
        </w:rPr>
        <w:t>等</w:t>
      </w:r>
      <w:r>
        <w:rPr>
          <w:rFonts w:hint="eastAsia" w:ascii="Times New Roman" w:hAnsi="Times New Roman"/>
          <w:szCs w:val="24"/>
        </w:rPr>
        <w:t>），支持新设备、新算法、新应用的便捷接入与扩展。</w:t>
      </w:r>
    </w:p>
    <w:p w14:paraId="678BA373">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kern w:val="21"/>
        </w:rPr>
      </w:pPr>
      <w:bookmarkStart w:id="54" w:name="_Toc8221"/>
      <w:r>
        <w:rPr>
          <w:rFonts w:hint="eastAsia" w:ascii="Times New Roman" w:hAnsi="Times New Roman" w:eastAsia="黑体" w:cs="黑体"/>
          <w:b/>
          <w:bCs/>
          <w:kern w:val="21"/>
        </w:rPr>
        <w:t xml:space="preserve">4.4 </w:t>
      </w:r>
      <w:r>
        <w:rPr>
          <w:rFonts w:hint="eastAsia" w:ascii="Times New Roman" w:hAnsi="Times New Roman" w:eastAsia="黑体" w:cs="黑体"/>
          <w:b/>
          <w:bCs/>
          <w:kern w:val="21"/>
          <w:lang w:val="en-US" w:eastAsia="zh-CN"/>
        </w:rPr>
        <w:t xml:space="preserve"> </w:t>
      </w:r>
      <w:r>
        <w:rPr>
          <w:rFonts w:hint="eastAsia" w:ascii="Times New Roman" w:hAnsi="Times New Roman" w:eastAsia="黑体" w:cs="黑体"/>
          <w:b w:val="0"/>
          <w:bCs w:val="0"/>
          <w:kern w:val="21"/>
        </w:rPr>
        <w:t>智能化与孪生要求</w:t>
      </w:r>
      <w:bookmarkEnd w:id="54"/>
    </w:p>
    <w:p w14:paraId="1FD2DF1D">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系统应具备以下智能化与孪生能力：</w:t>
      </w:r>
    </w:p>
    <w:p w14:paraId="3C2A7CB4">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rPr>
        <w:t>a) 精准映射：基于天空地一体化监测数据，能够构建并动态更新与物理水网保持高保真度的数字孪生水网模型，实现物理状态与虚拟状态的同步与一致</w:t>
      </w:r>
      <w:r>
        <w:rPr>
          <w:rFonts w:hint="eastAsia" w:ascii="Times New Roman" w:hAnsi="Times New Roman"/>
          <w:szCs w:val="24"/>
          <w:lang w:eastAsia="zh-CN"/>
        </w:rPr>
        <w:t>；</w:t>
      </w:r>
    </w:p>
    <w:p w14:paraId="2B011957">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rPr>
        <w:t>b) 模拟推演：能够基于数字孪生水网，耦合水利机理模型与数据驱动模型，对水网未来的水流、水质、工程安全状态等进行预测和多情景模拟分析</w:t>
      </w:r>
      <w:r>
        <w:rPr>
          <w:rFonts w:hint="eastAsia" w:ascii="Times New Roman" w:hAnsi="Times New Roman"/>
          <w:szCs w:val="24"/>
          <w:lang w:eastAsia="zh-CN"/>
        </w:rPr>
        <w:t>；</w:t>
      </w:r>
    </w:p>
    <w:p w14:paraId="6AE0B134">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rPr>
        <w:t>c) 智能诊断与预警：利用知识图谱和机器学习模型，对水网运行状态进行智能诊断、异常识别与根因分析，并实现风险的超前预警</w:t>
      </w:r>
      <w:r>
        <w:rPr>
          <w:rFonts w:hint="eastAsia" w:ascii="Times New Roman" w:hAnsi="Times New Roman"/>
          <w:szCs w:val="24"/>
          <w:lang w:eastAsia="zh-CN"/>
        </w:rPr>
        <w:t>；</w:t>
      </w:r>
    </w:p>
    <w:p w14:paraId="4A61A146">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d) 交互决策：能够通过数字孪生水网对不同的调度方案、工程决策进行模拟仿真与后果评估，为物理水网的优化运行和精准调控提供可视化、可量化的决策支持。</w:t>
      </w:r>
    </w:p>
    <w:p w14:paraId="7A09317E">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kern w:val="21"/>
        </w:rPr>
      </w:pPr>
      <w:bookmarkStart w:id="55" w:name="_Toc12103"/>
      <w:r>
        <w:rPr>
          <w:rFonts w:hint="eastAsia" w:ascii="Times New Roman" w:hAnsi="Times New Roman" w:eastAsia="黑体" w:cs="黑体"/>
          <w:b/>
          <w:bCs/>
          <w:kern w:val="21"/>
        </w:rPr>
        <w:t xml:space="preserve">4.5 </w:t>
      </w:r>
      <w:r>
        <w:rPr>
          <w:rFonts w:hint="eastAsia" w:ascii="Times New Roman" w:hAnsi="Times New Roman" w:eastAsia="黑体" w:cs="黑体"/>
          <w:b/>
          <w:bCs/>
          <w:kern w:val="21"/>
          <w:lang w:val="en-US" w:eastAsia="zh-CN"/>
        </w:rPr>
        <w:t xml:space="preserve"> </w:t>
      </w:r>
      <w:r>
        <w:rPr>
          <w:rFonts w:hint="eastAsia" w:ascii="Times New Roman" w:hAnsi="Times New Roman" w:eastAsia="黑体" w:cs="黑体"/>
          <w:b w:val="0"/>
          <w:bCs w:val="0"/>
          <w:kern w:val="21"/>
        </w:rPr>
        <w:t>安全与运维要求</w:t>
      </w:r>
      <w:bookmarkEnd w:id="55"/>
    </w:p>
    <w:p w14:paraId="73667FC6">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系统应遵循网络安全等级保护要求，符合GB/T 22239的相关规定，建立贯穿系统全生命周期的安全防护体系。同时，应建立标准化的运维管理流程，确保系统长期稳定运行。</w:t>
      </w:r>
    </w:p>
    <w:p w14:paraId="69B8FD71">
      <w:pPr>
        <w:keepNext/>
        <w:keepLines/>
        <w:pageBreakBefore w:val="0"/>
        <w:widowControl w:val="0"/>
        <w:numPr>
          <w:ilvl w:val="0"/>
          <w:numId w:val="32"/>
        </w:numPr>
        <w:kinsoku/>
        <w:wordWrap/>
        <w:overflowPunct/>
        <w:topLinePunct w:val="0"/>
        <w:autoSpaceDE/>
        <w:autoSpaceDN/>
        <w:bidi w:val="0"/>
        <w:adjustRightInd/>
        <w:snapToGrid/>
        <w:spacing w:before="313" w:beforeLines="100" w:after="313" w:afterLines="100" w:line="240" w:lineRule="auto"/>
        <w:ind w:left="363" w:leftChars="0" w:hanging="363" w:firstLineChars="0"/>
        <w:textAlignment w:val="auto"/>
        <w:outlineLvl w:val="0"/>
        <w:rPr>
          <w:rFonts w:hint="default" w:ascii="Times New Roman" w:hAnsi="Times New Roman" w:eastAsia="黑体"/>
          <w:b/>
          <w:bCs w:val="0"/>
          <w:kern w:val="44"/>
          <w:lang w:val="en-US" w:eastAsia="zh-CN"/>
        </w:rPr>
      </w:pPr>
      <w:bookmarkStart w:id="56" w:name="_Toc18344"/>
      <w:r>
        <w:rPr>
          <w:rFonts w:hint="eastAsia" w:ascii="Times New Roman" w:hAnsi="Times New Roman" w:eastAsia="黑体"/>
          <w:b/>
          <w:bCs w:val="0"/>
          <w:kern w:val="44"/>
          <w:lang w:val="en-US" w:eastAsia="zh-CN"/>
        </w:rPr>
        <w:t>监测要素与指标</w:t>
      </w:r>
      <w:bookmarkEnd w:id="56"/>
    </w:p>
    <w:p w14:paraId="23B485F9">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水网天空地一体化监测应围绕“水资源、水环境、水生态、水安全、水管理”等核心维度，构建全面、立体、精准的感知体系</w:t>
      </w:r>
      <w:r>
        <w:rPr>
          <w:rFonts w:hint="eastAsia" w:ascii="Times New Roman" w:hAnsi="Times New Roman"/>
          <w:szCs w:val="24"/>
          <w:lang w:val="en-US" w:eastAsia="zh-CN"/>
        </w:rPr>
        <w:t>，监测要素与指标的确定应遵循第4.2条的协同观测原则，明确不同平台的分工与侧重</w:t>
      </w:r>
      <w:r>
        <w:rPr>
          <w:rFonts w:hint="eastAsia" w:ascii="Times New Roman" w:hAnsi="Times New Roman"/>
          <w:szCs w:val="24"/>
        </w:rPr>
        <w:t>。主要监测要素与指标应符合表1的规定。</w:t>
      </w:r>
    </w:p>
    <w:p w14:paraId="6F3A18A4">
      <w:pPr>
        <w:adjustRightInd/>
        <w:spacing w:line="360" w:lineRule="auto"/>
        <w:jc w:val="center"/>
        <w:rPr>
          <w:rFonts w:hint="eastAsia" w:ascii="Times New Roman" w:hAnsi="Times New Roman"/>
          <w:szCs w:val="24"/>
        </w:rPr>
      </w:pPr>
      <w:r>
        <w:rPr>
          <w:rFonts w:hint="eastAsia" w:ascii="Times New Roman" w:hAnsi="Times New Roman"/>
          <w:szCs w:val="24"/>
        </w:rPr>
        <w:t>表1 水网天空地一体化监测要素与指标</w:t>
      </w:r>
    </w:p>
    <w:tbl>
      <w:tblPr>
        <w:tblStyle w:val="30"/>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15"/>
        <w:gridCol w:w="1144"/>
        <w:gridCol w:w="3401"/>
        <w:gridCol w:w="4210"/>
      </w:tblGrid>
      <w:tr w14:paraId="42A8D6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39AD71">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监测类别</w:t>
            </w: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6FA4A">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监测要素</w:t>
            </w:r>
          </w:p>
        </w:tc>
        <w:tc>
          <w:tcPr>
            <w:tcW w:w="34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C5FBB">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主要监测指标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69F558">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主要技术方法与优先监测平台</w:t>
            </w:r>
          </w:p>
        </w:tc>
      </w:tr>
      <w:tr w14:paraId="77D70A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DA7C8BA">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水文水资源</w:t>
            </w: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67C7F">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水位</w:t>
            </w:r>
          </w:p>
        </w:tc>
        <w:tc>
          <w:tcPr>
            <w:tcW w:w="34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A9245">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水位高程、瞬时水位、日平均水位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874BC6">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地基</w:t>
            </w:r>
            <w:r>
              <w:rPr>
                <w:rFonts w:hint="eastAsia" w:ascii="Times New Roman" w:hAnsi="Times New Roman" w:cs="Times New Roman"/>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雷达/压力/超声波水位计；天基</w:t>
            </w:r>
            <w:r>
              <w:rPr>
                <w:rFonts w:hint="eastAsia" w:ascii="Times New Roman" w:hAnsi="Times New Roman" w:cs="Times New Roman"/>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SAR/光学影像反演(大水体)；空基</w:t>
            </w:r>
            <w:r>
              <w:rPr>
                <w:rFonts w:hint="eastAsia" w:ascii="Times New Roman" w:hAnsi="Times New Roman" w:cs="Times New Roman"/>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摄影测量</w:t>
            </w:r>
          </w:p>
        </w:tc>
      </w:tr>
      <w:tr w14:paraId="7AE647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58657A">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i w:val="0"/>
                <w:iCs w:val="0"/>
                <w:color w:val="000000"/>
                <w:sz w:val="21"/>
                <w:szCs w:val="21"/>
                <w:u w:val="none"/>
              </w:rPr>
            </w:pP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D0645">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流量</w:t>
            </w:r>
            <w:r>
              <w:rPr>
                <w:rStyle w:val="243"/>
                <w:rFonts w:hint="default" w:ascii="Times New Roman" w:hAnsi="Times New Roman" w:eastAsia="宋体" w:cs="Times New Roman"/>
                <w:sz w:val="21"/>
                <w:szCs w:val="21"/>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流速</w:t>
            </w:r>
          </w:p>
        </w:tc>
        <w:tc>
          <w:tcPr>
            <w:tcW w:w="34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E8783">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瞬时流量、断面平均流速、累计水量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2A16EF">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地基</w:t>
            </w:r>
            <w:r>
              <w:rPr>
                <w:rFonts w:hint="eastAsia" w:ascii="Times New Roman" w:hAnsi="Times New Roman" w:cs="Times New Roman"/>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ADCP、电磁/超声波流量计；天基</w:t>
            </w:r>
            <w:r>
              <w:rPr>
                <w:rFonts w:hint="eastAsia" w:ascii="Times New Roman" w:hAnsi="Times New Roman" w:cs="Times New Roman"/>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遥感反演(水力模型耦合)；空基</w:t>
            </w:r>
            <w:r>
              <w:rPr>
                <w:rFonts w:hint="eastAsia" w:ascii="Times New Roman" w:hAnsi="Times New Roman" w:cs="Times New Roman"/>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无人机测流</w:t>
            </w:r>
          </w:p>
        </w:tc>
      </w:tr>
      <w:tr w14:paraId="57B4BF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9DC656">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i w:val="0"/>
                <w:iCs w:val="0"/>
                <w:color w:val="000000"/>
                <w:sz w:val="21"/>
                <w:szCs w:val="21"/>
                <w:u w:val="none"/>
              </w:rPr>
            </w:pP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E7ACE">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水量</w:t>
            </w:r>
            <w:r>
              <w:rPr>
                <w:rStyle w:val="243"/>
                <w:rFonts w:hint="default" w:ascii="Times New Roman" w:hAnsi="Times New Roman" w:eastAsia="宋体" w:cs="Times New Roman"/>
                <w:sz w:val="21"/>
                <w:szCs w:val="21"/>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水面面积</w:t>
            </w:r>
          </w:p>
        </w:tc>
        <w:tc>
          <w:tcPr>
            <w:tcW w:w="34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41BB3">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库容、湖面面积、河面宽度、淹没范围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DF0031">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天基</w:t>
            </w:r>
            <w:r>
              <w:rPr>
                <w:rFonts w:hint="eastAsia" w:ascii="Times New Roman" w:hAnsi="Times New Roman" w:cs="Times New Roman"/>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多光谱/SAR影像识别；空基</w:t>
            </w:r>
            <w:r>
              <w:rPr>
                <w:rFonts w:hint="eastAsia" w:ascii="Times New Roman" w:hAnsi="Times New Roman" w:cs="Times New Roman"/>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高分辨率光学/LiDAR；地基</w:t>
            </w:r>
            <w:r>
              <w:rPr>
                <w:rFonts w:hint="eastAsia" w:ascii="Times New Roman" w:hAnsi="Times New Roman" w:cs="Times New Roman"/>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水位-库容曲线推算</w:t>
            </w:r>
          </w:p>
        </w:tc>
      </w:tr>
      <w:tr w14:paraId="6E80BB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B99311">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i w:val="0"/>
                <w:iCs w:val="0"/>
                <w:color w:val="000000"/>
                <w:sz w:val="21"/>
                <w:szCs w:val="21"/>
                <w:u w:val="none"/>
              </w:rPr>
            </w:pP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9259F">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降水</w:t>
            </w:r>
            <w:r>
              <w:rPr>
                <w:rStyle w:val="243"/>
                <w:rFonts w:hint="default" w:ascii="Times New Roman" w:hAnsi="Times New Roman" w:eastAsia="宋体" w:cs="Times New Roman"/>
                <w:sz w:val="21"/>
                <w:szCs w:val="21"/>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蒸发</w:t>
            </w:r>
          </w:p>
        </w:tc>
        <w:tc>
          <w:tcPr>
            <w:tcW w:w="34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61098">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降水量、水面蒸发量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C6D024">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地基</w:t>
            </w:r>
            <w:r>
              <w:rPr>
                <w:rFonts w:hint="eastAsia" w:ascii="Times New Roman" w:hAnsi="Times New Roman" w:cs="Times New Roman"/>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雨量计、蒸发皿；天基</w:t>
            </w:r>
            <w:r>
              <w:rPr>
                <w:rFonts w:hint="eastAsia" w:ascii="Times New Roman" w:hAnsi="Times New Roman" w:cs="Times New Roman"/>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气象卫星(GPM等)反演降水</w:t>
            </w:r>
          </w:p>
        </w:tc>
      </w:tr>
      <w:tr w14:paraId="0B22E1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8154F4">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水质水环境</w:t>
            </w: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E4B40">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物理指标</w:t>
            </w:r>
          </w:p>
        </w:tc>
        <w:tc>
          <w:tcPr>
            <w:tcW w:w="34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56428">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水温、浊度、透明度、色度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BA85BE">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地基</w:t>
            </w:r>
            <w:r>
              <w:rPr>
                <w:rFonts w:hint="eastAsia" w:ascii="Times New Roman" w:hAnsi="Times New Roman" w:cs="Times New Roman"/>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在线传感器；空基</w:t>
            </w:r>
            <w:r>
              <w:rPr>
                <w:rFonts w:hint="eastAsia" w:ascii="Times New Roman" w:hAnsi="Times New Roman" w:cs="Times New Roman"/>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高光谱反演(浊度、透明度)；天基</w:t>
            </w:r>
            <w:r>
              <w:rPr>
                <w:rFonts w:hint="eastAsia" w:ascii="Times New Roman" w:hAnsi="Times New Roman" w:cs="Times New Roman"/>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高光谱反演</w:t>
            </w:r>
          </w:p>
        </w:tc>
      </w:tr>
      <w:tr w14:paraId="6DFD8A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8EBE6F">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i w:val="0"/>
                <w:iCs w:val="0"/>
                <w:color w:val="000000"/>
                <w:sz w:val="21"/>
                <w:szCs w:val="21"/>
                <w:u w:val="none"/>
              </w:rPr>
            </w:pP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D5145">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常规化学指标</w:t>
            </w:r>
          </w:p>
        </w:tc>
        <w:tc>
          <w:tcPr>
            <w:tcW w:w="34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D95B9">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pH、溶解氧</w:t>
            </w:r>
            <w:r>
              <w:rPr>
                <w:rStyle w:val="243"/>
                <w:rFonts w:hint="default" w:ascii="Times New Roman" w:hAnsi="Times New Roman" w:eastAsia="宋体" w:cs="Times New Roman"/>
                <w:sz w:val="21"/>
                <w:szCs w:val="21"/>
                <w:lang w:val="en-US" w:eastAsia="zh-CN" w:bidi="ar"/>
              </w:rPr>
              <w:t>(DO)</w:t>
            </w:r>
            <w:r>
              <w:rPr>
                <w:rFonts w:hint="default" w:ascii="Times New Roman" w:hAnsi="Times New Roman" w:eastAsia="宋体" w:cs="Times New Roman"/>
                <w:i w:val="0"/>
                <w:iCs w:val="0"/>
                <w:color w:val="000000"/>
                <w:kern w:val="0"/>
                <w:sz w:val="21"/>
                <w:szCs w:val="21"/>
                <w:u w:val="none"/>
                <w:lang w:val="en-US" w:eastAsia="zh-CN" w:bidi="ar"/>
              </w:rPr>
              <w:t>、电导率、高锰酸盐指数</w:t>
            </w:r>
            <w:r>
              <w:rPr>
                <w:rStyle w:val="243"/>
                <w:rFonts w:hint="default" w:ascii="Times New Roman" w:hAnsi="Times New Roman" w:eastAsia="宋体" w:cs="Times New Roman"/>
                <w:sz w:val="21"/>
                <w:szCs w:val="21"/>
                <w:lang w:val="en-US" w:eastAsia="zh-CN" w:bidi="ar"/>
              </w:rPr>
              <w:t>(CODMn)</w:t>
            </w:r>
            <w:r>
              <w:rPr>
                <w:rFonts w:hint="default" w:ascii="Times New Roman" w:hAnsi="Times New Roman" w:eastAsia="宋体" w:cs="Times New Roman"/>
                <w:i w:val="0"/>
                <w:iCs w:val="0"/>
                <w:color w:val="000000"/>
                <w:kern w:val="0"/>
                <w:sz w:val="21"/>
                <w:szCs w:val="21"/>
                <w:u w:val="none"/>
                <w:lang w:val="en-US" w:eastAsia="zh-CN" w:bidi="ar"/>
              </w:rPr>
              <w:t>、五日生化需氧量</w:t>
            </w:r>
            <w:r>
              <w:rPr>
                <w:rStyle w:val="243"/>
                <w:rFonts w:hint="default" w:ascii="Times New Roman" w:hAnsi="Times New Roman" w:eastAsia="宋体" w:cs="Times New Roman"/>
                <w:sz w:val="21"/>
                <w:szCs w:val="21"/>
                <w:lang w:val="en-US" w:eastAsia="zh-CN" w:bidi="ar"/>
              </w:rPr>
              <w:t>(BOD5)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8205D4">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地基</w:t>
            </w:r>
            <w:r>
              <w:rPr>
                <w:rFonts w:hint="eastAsia" w:ascii="Times New Roman" w:hAnsi="Times New Roman" w:cs="Times New Roman"/>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在线分析仪、实验室分析；空基/天基</w:t>
            </w:r>
            <w:r>
              <w:rPr>
                <w:rFonts w:hint="eastAsia" w:ascii="Times New Roman" w:hAnsi="Times New Roman" w:cs="Times New Roman"/>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高光谱反演(部分指标)</w:t>
            </w:r>
          </w:p>
        </w:tc>
      </w:tr>
      <w:tr w14:paraId="669CB2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2C0238">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i w:val="0"/>
                <w:iCs w:val="0"/>
                <w:color w:val="000000"/>
                <w:sz w:val="21"/>
                <w:szCs w:val="21"/>
                <w:u w:val="none"/>
              </w:rPr>
            </w:pP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D75B2">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营养盐指标</w:t>
            </w:r>
          </w:p>
        </w:tc>
        <w:tc>
          <w:tcPr>
            <w:tcW w:w="34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72F48">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氨氮</w:t>
            </w:r>
            <w:r>
              <w:rPr>
                <w:rStyle w:val="243"/>
                <w:rFonts w:hint="default" w:ascii="Times New Roman" w:hAnsi="Times New Roman" w:eastAsia="宋体" w:cs="Times New Roman"/>
                <w:sz w:val="21"/>
                <w:szCs w:val="21"/>
                <w:lang w:val="en-US" w:eastAsia="zh-CN" w:bidi="ar"/>
              </w:rPr>
              <w:t>(NH3-N)</w:t>
            </w:r>
            <w:r>
              <w:rPr>
                <w:rFonts w:hint="default" w:ascii="Times New Roman" w:hAnsi="Times New Roman" w:eastAsia="宋体" w:cs="Times New Roman"/>
                <w:i w:val="0"/>
                <w:iCs w:val="0"/>
                <w:color w:val="000000"/>
                <w:kern w:val="0"/>
                <w:sz w:val="21"/>
                <w:szCs w:val="21"/>
                <w:u w:val="none"/>
                <w:lang w:val="en-US" w:eastAsia="zh-CN" w:bidi="ar"/>
              </w:rPr>
              <w:t>、总磷</w:t>
            </w:r>
            <w:r>
              <w:rPr>
                <w:rStyle w:val="243"/>
                <w:rFonts w:hint="default" w:ascii="Times New Roman" w:hAnsi="Times New Roman" w:eastAsia="宋体" w:cs="Times New Roman"/>
                <w:sz w:val="21"/>
                <w:szCs w:val="21"/>
                <w:lang w:val="en-US" w:eastAsia="zh-CN" w:bidi="ar"/>
              </w:rPr>
              <w:t>(TP)</w:t>
            </w:r>
            <w:r>
              <w:rPr>
                <w:rFonts w:hint="default" w:ascii="Times New Roman" w:hAnsi="Times New Roman" w:eastAsia="宋体" w:cs="Times New Roman"/>
                <w:i w:val="0"/>
                <w:iCs w:val="0"/>
                <w:color w:val="000000"/>
                <w:kern w:val="0"/>
                <w:sz w:val="21"/>
                <w:szCs w:val="21"/>
                <w:u w:val="none"/>
                <w:lang w:val="en-US" w:eastAsia="zh-CN" w:bidi="ar"/>
              </w:rPr>
              <w:t>、总氮</w:t>
            </w:r>
            <w:r>
              <w:rPr>
                <w:rStyle w:val="243"/>
                <w:rFonts w:hint="default" w:ascii="Times New Roman" w:hAnsi="Times New Roman" w:eastAsia="宋体" w:cs="Times New Roman"/>
                <w:sz w:val="21"/>
                <w:szCs w:val="21"/>
                <w:lang w:val="en-US" w:eastAsia="zh-CN" w:bidi="ar"/>
              </w:rPr>
              <w:t>(TN)</w:t>
            </w:r>
            <w:r>
              <w:rPr>
                <w:rFonts w:hint="default" w:ascii="Times New Roman" w:hAnsi="Times New Roman" w:eastAsia="宋体" w:cs="Times New Roman"/>
                <w:i w:val="0"/>
                <w:iCs w:val="0"/>
                <w:color w:val="000000"/>
                <w:kern w:val="0"/>
                <w:sz w:val="21"/>
                <w:szCs w:val="21"/>
                <w:u w:val="none"/>
                <w:lang w:val="en-US" w:eastAsia="zh-CN" w:bidi="ar"/>
              </w:rPr>
              <w:t>、硝酸盐氮</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143942">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地基</w:t>
            </w:r>
            <w:r>
              <w:rPr>
                <w:rFonts w:hint="eastAsia" w:ascii="Times New Roman" w:hAnsi="Times New Roman" w:cs="Times New Roman"/>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在线分析仪、实验室分析；空基/天基</w:t>
            </w:r>
            <w:r>
              <w:rPr>
                <w:rFonts w:hint="eastAsia" w:ascii="Times New Roman" w:hAnsi="Times New Roman" w:cs="Times New Roman"/>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高光谱反演(富营养化综合指数)</w:t>
            </w:r>
          </w:p>
        </w:tc>
      </w:tr>
      <w:tr w14:paraId="3EF1B1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332B1F">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i w:val="0"/>
                <w:iCs w:val="0"/>
                <w:color w:val="000000"/>
                <w:sz w:val="21"/>
                <w:szCs w:val="21"/>
                <w:u w:val="none"/>
              </w:rPr>
            </w:pP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2745E">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特征污染物</w:t>
            </w:r>
          </w:p>
        </w:tc>
        <w:tc>
          <w:tcPr>
            <w:tcW w:w="34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CD691">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石油类、重金属、挥发性酚、阴离子表面活性剂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12B439">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地基</w:t>
            </w:r>
            <w:r>
              <w:rPr>
                <w:rFonts w:hint="eastAsia" w:ascii="Times New Roman" w:hAnsi="Times New Roman" w:cs="Times New Roman"/>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实验室分析(采样)为主；空基</w:t>
            </w:r>
            <w:r>
              <w:rPr>
                <w:rFonts w:hint="eastAsia" w:ascii="Times New Roman" w:hAnsi="Times New Roman" w:cs="Times New Roman"/>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高光谱/荧光遥感(探测油膜等)</w:t>
            </w:r>
          </w:p>
        </w:tc>
      </w:tr>
      <w:tr w14:paraId="429EE8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AF42D9F">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水生态</w:t>
            </w: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C53B2">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藻类与富营养化</w:t>
            </w:r>
          </w:p>
        </w:tc>
        <w:tc>
          <w:tcPr>
            <w:tcW w:w="34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9C2FC">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叶绿素</w:t>
            </w:r>
            <w:r>
              <w:rPr>
                <w:rStyle w:val="243"/>
                <w:rFonts w:hint="default" w:ascii="Times New Roman" w:hAnsi="Times New Roman" w:eastAsia="宋体" w:cs="Times New Roman"/>
                <w:sz w:val="21"/>
                <w:szCs w:val="21"/>
                <w:lang w:val="en-US" w:eastAsia="zh-CN" w:bidi="ar"/>
              </w:rPr>
              <w:t>a</w:t>
            </w:r>
            <w:r>
              <w:rPr>
                <w:rFonts w:hint="default" w:ascii="Times New Roman" w:hAnsi="Times New Roman" w:eastAsia="宋体" w:cs="Times New Roman"/>
                <w:i w:val="0"/>
                <w:iCs w:val="0"/>
                <w:color w:val="000000"/>
                <w:kern w:val="0"/>
                <w:sz w:val="21"/>
                <w:szCs w:val="21"/>
                <w:u w:val="none"/>
                <w:lang w:val="en-US" w:eastAsia="zh-CN" w:bidi="ar"/>
              </w:rPr>
              <w:t>浓度、藻密度、藻华面积、富营养化指数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F095CD">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地基</w:t>
            </w:r>
            <w:r>
              <w:rPr>
                <w:rFonts w:hint="eastAsia" w:ascii="Times New Roman" w:hAnsi="Times New Roman" w:cs="Times New Roman"/>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荧光传感器、实验室分析；空基/天基</w:t>
            </w:r>
            <w:r>
              <w:rPr>
                <w:rFonts w:hint="eastAsia" w:ascii="Times New Roman" w:hAnsi="Times New Roman" w:cs="Times New Roman"/>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多光谱/高光谱反演(核心手段)</w:t>
            </w:r>
          </w:p>
        </w:tc>
      </w:tr>
      <w:tr w14:paraId="1BC376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778106">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i w:val="0"/>
                <w:iCs w:val="0"/>
                <w:color w:val="000000"/>
                <w:sz w:val="21"/>
                <w:szCs w:val="21"/>
                <w:u w:val="none"/>
              </w:rPr>
            </w:pP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87F9D">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水生植被</w:t>
            </w:r>
          </w:p>
        </w:tc>
        <w:tc>
          <w:tcPr>
            <w:tcW w:w="34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FF244">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水生高等植物分布范围、覆盖度、种类</w:t>
            </w:r>
            <w:r>
              <w:rPr>
                <w:rStyle w:val="243"/>
                <w:rFonts w:hint="default" w:ascii="Times New Roman" w:hAnsi="Times New Roman" w:eastAsia="宋体" w:cs="Times New Roman"/>
                <w:sz w:val="21"/>
                <w:szCs w:val="21"/>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沉水</w:t>
            </w:r>
            <w:r>
              <w:rPr>
                <w:rStyle w:val="243"/>
                <w:rFonts w:hint="default" w:ascii="Times New Roman" w:hAnsi="Times New Roman" w:eastAsia="宋体" w:cs="Times New Roman"/>
                <w:sz w:val="21"/>
                <w:szCs w:val="21"/>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挺水</w:t>
            </w:r>
            <w:r>
              <w:rPr>
                <w:rStyle w:val="243"/>
                <w:rFonts w:hint="default" w:ascii="Times New Roman" w:hAnsi="Times New Roman" w:eastAsia="宋体" w:cs="Times New Roman"/>
                <w:sz w:val="21"/>
                <w:szCs w:val="21"/>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浮叶</w:t>
            </w:r>
            <w:r>
              <w:rPr>
                <w:rStyle w:val="243"/>
                <w:rFonts w:hint="default" w:ascii="Times New Roman" w:hAnsi="Times New Roman" w:eastAsia="宋体" w:cs="Times New Roman"/>
                <w:sz w:val="21"/>
                <w:szCs w:val="21"/>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F86986">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空基</w:t>
            </w:r>
            <w:r>
              <w:rPr>
                <w:rFonts w:hint="eastAsia" w:ascii="Times New Roman" w:hAnsi="Times New Roman" w:cs="Times New Roman"/>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高分辨率多光谱/高光谱(核心手段)；天基</w:t>
            </w:r>
            <w:r>
              <w:rPr>
                <w:rFonts w:hint="eastAsia" w:ascii="Times New Roman" w:hAnsi="Times New Roman" w:cs="Times New Roman"/>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高分辨率影像</w:t>
            </w:r>
          </w:p>
        </w:tc>
      </w:tr>
      <w:tr w14:paraId="0A5869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92FD34">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i w:val="0"/>
                <w:iCs w:val="0"/>
                <w:color w:val="000000"/>
                <w:sz w:val="21"/>
                <w:szCs w:val="21"/>
                <w:u w:val="none"/>
              </w:rPr>
            </w:pP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DD067">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水生动物</w:t>
            </w:r>
          </w:p>
        </w:tc>
        <w:tc>
          <w:tcPr>
            <w:tcW w:w="34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146F2">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鱼类资源量、生物多样性指数、环境</w:t>
            </w:r>
            <w:r>
              <w:rPr>
                <w:rStyle w:val="243"/>
                <w:rFonts w:hint="default" w:ascii="Times New Roman" w:hAnsi="Times New Roman" w:eastAsia="宋体" w:cs="Times New Roman"/>
                <w:sz w:val="21"/>
                <w:szCs w:val="21"/>
                <w:lang w:val="en-US" w:eastAsia="zh-CN" w:bidi="ar"/>
              </w:rPr>
              <w:t>DNA(eDNA)</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4390DE">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地基</w:t>
            </w:r>
            <w:r>
              <w:rPr>
                <w:rFonts w:hint="eastAsia" w:ascii="Times New Roman" w:hAnsi="Times New Roman" w:cs="Times New Roman"/>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声纳、eDNA采样分析；空基</w:t>
            </w:r>
            <w:r>
              <w:rPr>
                <w:rFonts w:hint="eastAsia" w:ascii="Times New Roman" w:hAnsi="Times New Roman" w:cs="Times New Roman"/>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可见光监测(大型动物)</w:t>
            </w:r>
          </w:p>
        </w:tc>
      </w:tr>
      <w:tr w14:paraId="45A311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D876024">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水空间与岸线</w:t>
            </w: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1BE5C">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水域空间</w:t>
            </w:r>
          </w:p>
        </w:tc>
        <w:tc>
          <w:tcPr>
            <w:tcW w:w="34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35AB5">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水域面积变化、岸线长度、河湖管理范围线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EAD2D8">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天基</w:t>
            </w:r>
            <w:r>
              <w:rPr>
                <w:rFonts w:hint="eastAsia" w:ascii="Times New Roman" w:hAnsi="Times New Roman" w:cs="Times New Roman"/>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多光谱/SAR(核心手段)；空基</w:t>
            </w:r>
            <w:r>
              <w:rPr>
                <w:rFonts w:hint="eastAsia" w:ascii="Times New Roman" w:hAnsi="Times New Roman" w:cs="Times New Roman"/>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高分辨率光学/LiDAR(精细化)</w:t>
            </w:r>
          </w:p>
        </w:tc>
      </w:tr>
      <w:tr w14:paraId="4E30AE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8CD7BE">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i w:val="0"/>
                <w:iCs w:val="0"/>
                <w:color w:val="000000"/>
                <w:sz w:val="21"/>
                <w:szCs w:val="21"/>
                <w:u w:val="none"/>
              </w:rPr>
            </w:pP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B2E7D">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岸线状况</w:t>
            </w:r>
          </w:p>
        </w:tc>
        <w:tc>
          <w:tcPr>
            <w:tcW w:w="34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D32D4">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岸线变迁速率、侵蚀</w:t>
            </w:r>
            <w:r>
              <w:rPr>
                <w:rStyle w:val="243"/>
                <w:rFonts w:hint="default" w:ascii="Times New Roman" w:hAnsi="Times New Roman" w:eastAsia="宋体" w:cs="Times New Roman"/>
                <w:sz w:val="21"/>
                <w:szCs w:val="21"/>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淤积强度、岸线利用类型</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B5B8B4">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天基/空基</w:t>
            </w:r>
            <w:r>
              <w:rPr>
                <w:rFonts w:hint="eastAsia" w:ascii="Times New Roman" w:hAnsi="Times New Roman" w:cs="Times New Roman"/>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多期影像比对、变化检测；地基</w:t>
            </w:r>
            <w:r>
              <w:rPr>
                <w:rFonts w:hint="eastAsia" w:ascii="Times New Roman" w:hAnsi="Times New Roman" w:cs="Times New Roman"/>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现场调查</w:t>
            </w:r>
          </w:p>
        </w:tc>
      </w:tr>
      <w:tr w14:paraId="66AC9D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5D6EA2">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i w:val="0"/>
                <w:iCs w:val="0"/>
                <w:color w:val="000000"/>
                <w:sz w:val="21"/>
                <w:szCs w:val="21"/>
                <w:u w:val="none"/>
              </w:rPr>
            </w:pP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7AA94">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涉水活动</w:t>
            </w:r>
          </w:p>
        </w:tc>
        <w:tc>
          <w:tcPr>
            <w:tcW w:w="34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73335">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非法采砂、非法排污、非法捕捞、船舶航行</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FB736A">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天基/空基</w:t>
            </w:r>
            <w:r>
              <w:rPr>
                <w:rFonts w:hint="eastAsia" w:ascii="Times New Roman" w:hAnsi="Times New Roman" w:cs="Times New Roman"/>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高分辨率影像识别、SAR；地基</w:t>
            </w:r>
            <w:r>
              <w:rPr>
                <w:rFonts w:hint="eastAsia" w:ascii="Times New Roman" w:hAnsi="Times New Roman" w:cs="Times New Roman"/>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视频监控AI识别</w:t>
            </w:r>
          </w:p>
        </w:tc>
      </w:tr>
      <w:tr w14:paraId="43956D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CFE21EB">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工程安全</w:t>
            </w: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A601B">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结构形变</w:t>
            </w:r>
          </w:p>
        </w:tc>
        <w:tc>
          <w:tcPr>
            <w:tcW w:w="34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BDB3D">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大坝、堤防、边坡等的表面位移、沉降量、水平位移</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BA8815">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地基</w:t>
            </w:r>
            <w:r>
              <w:rPr>
                <w:rFonts w:hint="eastAsia" w:ascii="Times New Roman" w:hAnsi="Times New Roman" w:cs="Times New Roman"/>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GNSS、测量机器人、裂缝计；空基</w:t>
            </w:r>
            <w:r>
              <w:rPr>
                <w:rFonts w:hint="eastAsia" w:ascii="Times New Roman" w:hAnsi="Times New Roman" w:cs="Times New Roman"/>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机载LiDAR/InSAR；天基</w:t>
            </w:r>
            <w:r>
              <w:rPr>
                <w:rFonts w:hint="eastAsia" w:ascii="Times New Roman" w:hAnsi="Times New Roman" w:cs="Times New Roman"/>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InSAR(区域形变)</w:t>
            </w:r>
          </w:p>
        </w:tc>
      </w:tr>
      <w:tr w14:paraId="7FFBF7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5387D4">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i w:val="0"/>
                <w:iCs w:val="0"/>
                <w:color w:val="000000"/>
                <w:sz w:val="21"/>
                <w:szCs w:val="21"/>
                <w:u w:val="none"/>
              </w:rPr>
            </w:pP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6CE7C">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渗流渗压</w:t>
            </w:r>
          </w:p>
        </w:tc>
        <w:tc>
          <w:tcPr>
            <w:tcW w:w="34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0EC60">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浸润线、渗流量、渗压</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D1280F">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地基</w:t>
            </w:r>
            <w:r>
              <w:rPr>
                <w:rFonts w:hint="eastAsia" w:ascii="Times New Roman" w:hAnsi="Times New Roman" w:cs="Times New Roman"/>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渗压计、量水堰计(核心手段)</w:t>
            </w:r>
          </w:p>
        </w:tc>
      </w:tr>
      <w:tr w14:paraId="72878A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9BE234">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i w:val="0"/>
                <w:iCs w:val="0"/>
                <w:color w:val="000000"/>
                <w:sz w:val="21"/>
                <w:szCs w:val="21"/>
                <w:u w:val="none"/>
              </w:rPr>
            </w:pP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9513D">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结构应力</w:t>
            </w:r>
          </w:p>
        </w:tc>
        <w:tc>
          <w:tcPr>
            <w:tcW w:w="34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FB588">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混凝土应力、钢筋应力、土压力</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542DC1">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地基</w:t>
            </w:r>
            <w:r>
              <w:rPr>
                <w:rFonts w:hint="eastAsia" w:ascii="Times New Roman" w:hAnsi="Times New Roman" w:cs="Times New Roman"/>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应变计、应力计、土压力盒(核心手段)</w:t>
            </w:r>
          </w:p>
        </w:tc>
      </w:tr>
    </w:tbl>
    <w:p w14:paraId="6112C839">
      <w:pPr>
        <w:keepNext/>
        <w:keepLines/>
        <w:pageBreakBefore w:val="0"/>
        <w:widowControl w:val="0"/>
        <w:numPr>
          <w:ilvl w:val="0"/>
          <w:numId w:val="32"/>
        </w:numPr>
        <w:kinsoku/>
        <w:wordWrap/>
        <w:overflowPunct/>
        <w:topLinePunct w:val="0"/>
        <w:autoSpaceDE/>
        <w:autoSpaceDN/>
        <w:bidi w:val="0"/>
        <w:adjustRightInd/>
        <w:snapToGrid/>
        <w:spacing w:before="313" w:beforeLines="100" w:after="313" w:afterLines="100" w:line="240" w:lineRule="auto"/>
        <w:ind w:left="363" w:leftChars="0" w:hanging="363" w:firstLineChars="0"/>
        <w:textAlignment w:val="auto"/>
        <w:outlineLvl w:val="0"/>
        <w:rPr>
          <w:rFonts w:hint="eastAsia" w:ascii="Times New Roman" w:hAnsi="Times New Roman" w:eastAsia="黑体"/>
          <w:b/>
          <w:bCs w:val="0"/>
          <w:kern w:val="44"/>
          <w:lang w:val="en-US" w:eastAsia="zh-CN"/>
        </w:rPr>
      </w:pPr>
      <w:bookmarkStart w:id="57" w:name="_Toc16853"/>
      <w:r>
        <w:rPr>
          <w:rFonts w:hint="eastAsia" w:ascii="Times New Roman" w:hAnsi="Times New Roman" w:eastAsia="黑体"/>
          <w:b/>
          <w:bCs w:val="0"/>
          <w:kern w:val="44"/>
          <w:lang w:val="en-US" w:eastAsia="zh-CN"/>
        </w:rPr>
        <w:t>天基监测</w:t>
      </w:r>
      <w:bookmarkEnd w:id="57"/>
    </w:p>
    <w:p w14:paraId="549968A9">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kern w:val="21"/>
          <w:lang w:val="en-US" w:eastAsia="zh-CN"/>
        </w:rPr>
      </w:pPr>
      <w:bookmarkStart w:id="58" w:name="_Toc12731"/>
      <w:bookmarkStart w:id="59" w:name="_Toc2706"/>
      <w:r>
        <w:rPr>
          <w:rFonts w:hint="eastAsia" w:ascii="Times New Roman" w:hAnsi="Times New Roman" w:eastAsia="黑体" w:cs="黑体"/>
          <w:b/>
          <w:bCs/>
          <w:kern w:val="21"/>
        </w:rPr>
        <w:t>6.1</w:t>
      </w:r>
      <w:r>
        <w:rPr>
          <w:rFonts w:hint="eastAsia" w:ascii="Times New Roman" w:hAnsi="Times New Roman" w:eastAsia="黑体" w:cs="黑体"/>
          <w:b/>
          <w:bCs/>
          <w:kern w:val="21"/>
          <w:lang w:val="en-US" w:eastAsia="zh-CN"/>
        </w:rPr>
        <w:t xml:space="preserve">  </w:t>
      </w:r>
      <w:r>
        <w:rPr>
          <w:rFonts w:hint="eastAsia" w:ascii="Times New Roman" w:hAnsi="Times New Roman" w:eastAsia="黑体" w:cs="黑体"/>
          <w:b w:val="0"/>
          <w:bCs w:val="0"/>
          <w:kern w:val="21"/>
        </w:rPr>
        <w:t>一般</w:t>
      </w:r>
      <w:bookmarkEnd w:id="58"/>
      <w:r>
        <w:rPr>
          <w:rFonts w:hint="eastAsia" w:ascii="Times New Roman" w:hAnsi="Times New Roman" w:eastAsia="黑体" w:cs="黑体"/>
          <w:b w:val="0"/>
          <w:bCs w:val="0"/>
          <w:kern w:val="21"/>
          <w:lang w:val="en-US" w:eastAsia="zh-CN"/>
        </w:rPr>
        <w:t>要求</w:t>
      </w:r>
      <w:bookmarkEnd w:id="59"/>
    </w:p>
    <w:p w14:paraId="498211E2">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6.1.1 天基监测应作为获取水网宏观、大范围、周期性信息的主要技术手段。</w:t>
      </w:r>
    </w:p>
    <w:p w14:paraId="3BEF41F2">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6.1.2 天基监测应侧重于大范围、周期性的普查和宏观动态监测，为系统提供本底和框架数据</w:t>
      </w:r>
    </w:p>
    <w:p w14:paraId="74E57BDA">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6.1.3 应根据监测任务的目标、精度和时效性要求，综合权衡卫星的空间分辨率、时间分辨率、光谱分辨率和辐射分辨率，合理选择卫星数据源。</w:t>
      </w:r>
    </w:p>
    <w:p w14:paraId="00FBFC8C">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6.1.</w:t>
      </w:r>
      <w:r>
        <w:rPr>
          <w:rFonts w:hint="eastAsia" w:ascii="Times New Roman" w:hAnsi="Times New Roman"/>
          <w:szCs w:val="24"/>
          <w:lang w:val="en-US" w:eastAsia="zh-CN"/>
        </w:rPr>
        <w:t>4</w:t>
      </w:r>
      <w:r>
        <w:rPr>
          <w:rFonts w:hint="eastAsia" w:ascii="Times New Roman" w:hAnsi="Times New Roman"/>
          <w:szCs w:val="24"/>
        </w:rPr>
        <w:t xml:space="preserve"> 天基监测成果应与空基、地基监测数据进行融合与校验，形成有效互补。</w:t>
      </w:r>
    </w:p>
    <w:p w14:paraId="7C2A5044">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val="0"/>
          <w:bCs w:val="0"/>
          <w:kern w:val="21"/>
        </w:rPr>
      </w:pPr>
      <w:bookmarkStart w:id="60" w:name="_Toc18173"/>
      <w:r>
        <w:rPr>
          <w:rFonts w:hint="eastAsia" w:ascii="Times New Roman" w:hAnsi="Times New Roman" w:eastAsia="黑体" w:cs="黑体"/>
          <w:b/>
          <w:bCs/>
          <w:kern w:val="21"/>
        </w:rPr>
        <w:t xml:space="preserve">6.2 </w:t>
      </w:r>
      <w:r>
        <w:rPr>
          <w:rFonts w:hint="eastAsia" w:ascii="Times New Roman" w:hAnsi="Times New Roman" w:eastAsia="黑体" w:cs="黑体"/>
          <w:b/>
          <w:bCs/>
          <w:kern w:val="21"/>
          <w:lang w:val="en-US" w:eastAsia="zh-CN"/>
        </w:rPr>
        <w:t xml:space="preserve"> </w:t>
      </w:r>
      <w:r>
        <w:rPr>
          <w:rFonts w:hint="eastAsia" w:ascii="Times New Roman" w:hAnsi="Times New Roman" w:eastAsia="黑体" w:cs="黑体"/>
          <w:b w:val="0"/>
          <w:bCs w:val="0"/>
          <w:kern w:val="21"/>
        </w:rPr>
        <w:t>卫星数据源选择</w:t>
      </w:r>
      <w:bookmarkEnd w:id="60"/>
    </w:p>
    <w:p w14:paraId="715CEFEF">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天基监测可选用的卫星数据类型包括但不限于：</w:t>
      </w:r>
    </w:p>
    <w:p w14:paraId="2A9A6DE4">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rPr>
        <w:t>a) 中等分辨率多光谱卫星：如 Landsat 系列、Sentinel-2 等，适用于长时间序列的水体范围、土地利用、植被指数等变化监测</w:t>
      </w:r>
      <w:r>
        <w:rPr>
          <w:rFonts w:hint="eastAsia" w:ascii="Times New Roman" w:hAnsi="Times New Roman"/>
          <w:szCs w:val="24"/>
          <w:lang w:eastAsia="zh-CN"/>
        </w:rPr>
        <w:t>；</w:t>
      </w:r>
    </w:p>
    <w:p w14:paraId="38F22524">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rPr>
        <w:t>b) 高分辨率光学卫星：如国产高分（GF）系列、WorldView、QuickBird 等，适用于精细化的水域岸线变迁、水利工程设施识别、污染源定位等监测</w:t>
      </w:r>
      <w:r>
        <w:rPr>
          <w:rFonts w:hint="eastAsia" w:ascii="Times New Roman" w:hAnsi="Times New Roman"/>
          <w:szCs w:val="24"/>
          <w:lang w:eastAsia="zh-CN"/>
        </w:rPr>
        <w:t>；</w:t>
      </w:r>
    </w:p>
    <w:p w14:paraId="7C214B70">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rPr>
        <w:t>c) 合成孔径雷达（SAR）卫星：如 Sentinel-1、国产高分三号（GF-3）、RADARSAT 等，具备全天时、全天候工作能力，适用于洪涝灾害监测、水体提取（尤其在多云多雨区）、地表形变（如基于InSAR技术的水利工程安全监测）等</w:t>
      </w:r>
      <w:r>
        <w:rPr>
          <w:rFonts w:hint="eastAsia" w:ascii="Times New Roman" w:hAnsi="Times New Roman"/>
          <w:szCs w:val="24"/>
          <w:lang w:eastAsia="zh-CN"/>
        </w:rPr>
        <w:t>；</w:t>
      </w:r>
    </w:p>
    <w:p w14:paraId="319CF284">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rPr>
        <w:t>d) 高光谱卫星：如国产高分五号（GF-5）、环境减灾卫星等，适用于水质参数（如叶绿素a、悬浮物、有色可溶性有机物CDOM）的反演</w:t>
      </w:r>
      <w:r>
        <w:rPr>
          <w:rFonts w:hint="eastAsia" w:ascii="Times New Roman" w:hAnsi="Times New Roman"/>
          <w:szCs w:val="24"/>
          <w:lang w:eastAsia="zh-CN"/>
        </w:rPr>
        <w:t>；</w:t>
      </w:r>
    </w:p>
    <w:p w14:paraId="4511520F">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rPr>
        <w:t>e) 气象与环境卫星：如风云（FY）系列、NOAA 系列、Suomi NPP 等，适用于降水、蒸散发、气温等气象要素的监测，为水文模型提供驱动数据</w:t>
      </w:r>
      <w:r>
        <w:rPr>
          <w:rFonts w:hint="eastAsia" w:ascii="Times New Roman" w:hAnsi="Times New Roman"/>
          <w:szCs w:val="24"/>
          <w:lang w:eastAsia="zh-CN"/>
        </w:rPr>
        <w:t>；</w:t>
      </w:r>
    </w:p>
    <w:p w14:paraId="1D266BEC">
      <w:pPr>
        <w:adjustRightInd/>
        <w:spacing w:line="360" w:lineRule="auto"/>
        <w:ind w:firstLine="420" w:firstLineChars="200"/>
        <w:rPr>
          <w:rFonts w:hint="eastAsia" w:ascii="Times New Roman" w:hAnsi="Times New Roman" w:eastAsia="黑体" w:cs="黑体"/>
          <w:b w:val="0"/>
          <w:bCs w:val="0"/>
          <w:kern w:val="21"/>
        </w:rPr>
      </w:pPr>
      <w:r>
        <w:rPr>
          <w:rFonts w:hint="eastAsia" w:ascii="Times New Roman" w:hAnsi="Times New Roman"/>
          <w:szCs w:val="24"/>
        </w:rPr>
        <w:t>f) 重力卫星：如 GRACE 及其后续任务，适用于区域地下水储量、陆地水储量变化的宏观评估。</w:t>
      </w:r>
    </w:p>
    <w:p w14:paraId="1226A38C">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kern w:val="21"/>
        </w:rPr>
      </w:pPr>
      <w:bookmarkStart w:id="61" w:name="_Toc22661"/>
      <w:r>
        <w:rPr>
          <w:rFonts w:hint="eastAsia" w:ascii="Times New Roman" w:hAnsi="Times New Roman" w:eastAsia="黑体" w:cs="黑体"/>
          <w:b/>
          <w:bCs/>
          <w:kern w:val="21"/>
        </w:rPr>
        <w:t xml:space="preserve">6.3 </w:t>
      </w:r>
      <w:r>
        <w:rPr>
          <w:rFonts w:hint="eastAsia" w:ascii="Times New Roman" w:hAnsi="Times New Roman" w:eastAsia="黑体" w:cs="黑体"/>
          <w:b/>
          <w:bCs/>
          <w:kern w:val="21"/>
          <w:lang w:val="en-US" w:eastAsia="zh-CN"/>
        </w:rPr>
        <w:t xml:space="preserve"> </w:t>
      </w:r>
      <w:r>
        <w:rPr>
          <w:rFonts w:hint="eastAsia" w:ascii="Times New Roman" w:hAnsi="Times New Roman" w:eastAsia="黑体" w:cs="黑体"/>
          <w:b w:val="0"/>
          <w:bCs w:val="0"/>
          <w:kern w:val="21"/>
        </w:rPr>
        <w:t>监测内容与要求</w:t>
      </w:r>
      <w:bookmarkEnd w:id="61"/>
    </w:p>
    <w:p w14:paraId="25F4A3B6">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天基监测的主要内容和技术要求应符合表</w:t>
      </w:r>
      <w:r>
        <w:rPr>
          <w:rFonts w:hint="eastAsia" w:ascii="Times New Roman" w:hAnsi="Times New Roman"/>
          <w:szCs w:val="24"/>
          <w:lang w:val="en-US" w:eastAsia="zh-CN"/>
        </w:rPr>
        <w:t>2</w:t>
      </w:r>
      <w:r>
        <w:rPr>
          <w:rFonts w:hint="eastAsia" w:ascii="Times New Roman" w:hAnsi="Times New Roman"/>
          <w:szCs w:val="24"/>
        </w:rPr>
        <w:t>的规定。</w:t>
      </w:r>
    </w:p>
    <w:p w14:paraId="1206E7C1">
      <w:pPr>
        <w:adjustRightInd/>
        <w:spacing w:line="360" w:lineRule="auto"/>
        <w:jc w:val="center"/>
        <w:rPr>
          <w:rFonts w:hint="eastAsia" w:ascii="Times New Roman" w:hAnsi="Times New Roman"/>
          <w:szCs w:val="24"/>
        </w:rPr>
      </w:pPr>
      <w:r>
        <w:rPr>
          <w:rFonts w:hint="eastAsia" w:ascii="Times New Roman" w:hAnsi="Times New Roman"/>
          <w:szCs w:val="24"/>
        </w:rPr>
        <w:t>表2 天基监测主要内容与技术要求</w:t>
      </w:r>
    </w:p>
    <w:tbl>
      <w:tblPr>
        <w:tblStyle w:val="30"/>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62"/>
        <w:gridCol w:w="2135"/>
        <w:gridCol w:w="1635"/>
        <w:gridCol w:w="1230"/>
        <w:gridCol w:w="1230"/>
        <w:gridCol w:w="2009"/>
      </w:tblGrid>
      <w:tr w14:paraId="5939FB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41E9F">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监测类别</w:t>
            </w:r>
          </w:p>
        </w:tc>
        <w:tc>
          <w:tcPr>
            <w:tcW w:w="2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4BD2D">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​主要应用</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BBD04">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​推荐卫星类型</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15236">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空间分辨率要求</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FB1D6">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时间分辨率要求</w:t>
            </w:r>
          </w:p>
        </w:tc>
        <w:tc>
          <w:tcPr>
            <w:tcW w:w="2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46F5A">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​核心产品</w:t>
            </w:r>
          </w:p>
        </w:tc>
      </w:tr>
      <w:tr w14:paraId="5734AD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00972">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水文动态</w:t>
            </w:r>
          </w:p>
        </w:tc>
        <w:tc>
          <w:tcPr>
            <w:tcW w:w="2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7A658">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水体范围提取、洪涝淹没监测</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F9CBC">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SAR、多光谱</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A876C">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≤30m（应急时≤10m）</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840F2">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≤3天（应急时按需获取）</w:t>
            </w:r>
          </w:p>
        </w:tc>
        <w:tc>
          <w:tcPr>
            <w:tcW w:w="2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42592">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淹没范围矢量图、水位-面积关系曲线</w:t>
            </w:r>
          </w:p>
        </w:tc>
      </w:tr>
      <w:tr w14:paraId="101C63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38168">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水质监测</w:t>
            </w:r>
          </w:p>
        </w:tc>
        <w:tc>
          <w:tcPr>
            <w:tcW w:w="2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B1BA4">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叶绿素a、悬浮物、透明度、富营养化指数反演</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60EC4">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高光谱、多光谱</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DBC4B">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≤30m</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D21F8">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≤7天</w:t>
            </w:r>
          </w:p>
        </w:tc>
        <w:tc>
          <w:tcPr>
            <w:tcW w:w="2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4FBE6">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水质参数分布专题图</w:t>
            </w:r>
          </w:p>
        </w:tc>
      </w:tr>
      <w:tr w14:paraId="02DB66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0A83B">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水生态监测</w:t>
            </w:r>
          </w:p>
        </w:tc>
        <w:tc>
          <w:tcPr>
            <w:tcW w:w="2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4939B">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水生植被分布、藻华识别</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D1A94">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多光谱、高光谱</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6AD3D">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≤10m</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40114">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≤7天</w:t>
            </w:r>
          </w:p>
        </w:tc>
        <w:tc>
          <w:tcPr>
            <w:tcW w:w="2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89959">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植被覆盖度图、藻华分布图</w:t>
            </w:r>
          </w:p>
        </w:tc>
      </w:tr>
      <w:tr w14:paraId="790C08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40033">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水域岸线监管</w:t>
            </w:r>
          </w:p>
        </w:tc>
        <w:tc>
          <w:tcPr>
            <w:tcW w:w="2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FF3D3">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岸线变迁、滩地利用、非法采砂活动识别</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BC39E">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高分辨率光学、SAR</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1FA39">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≤2m</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31EF8">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≤15天</w:t>
            </w:r>
          </w:p>
        </w:tc>
        <w:tc>
          <w:tcPr>
            <w:tcW w:w="2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E173D">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岸线变化检测图、违规活动识别报告</w:t>
            </w:r>
          </w:p>
        </w:tc>
      </w:tr>
      <w:tr w14:paraId="6733D8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620E3">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水利工程安全</w:t>
            </w:r>
          </w:p>
        </w:tc>
        <w:tc>
          <w:tcPr>
            <w:tcW w:w="2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05A8F">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大坝、堤防等地表形变监测（InSAR）</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38EC5">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SAR（C/L波段优先）</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C7F70">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≤20m</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BF176">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≤15天</w:t>
            </w:r>
          </w:p>
        </w:tc>
        <w:tc>
          <w:tcPr>
            <w:tcW w:w="2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FFA65">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形变速率图、累计形变量图</w:t>
            </w:r>
          </w:p>
        </w:tc>
      </w:tr>
      <w:tr w14:paraId="032E55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1F823">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水文气象</w:t>
            </w:r>
          </w:p>
        </w:tc>
        <w:tc>
          <w:tcPr>
            <w:tcW w:w="2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B006D">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降水、蒸散发、土壤湿度监测</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1BE69">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气象卫星、微波卫星</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76413">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≤10km</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2F392">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每日</w:t>
            </w:r>
          </w:p>
        </w:tc>
        <w:tc>
          <w:tcPr>
            <w:tcW w:w="2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608CF">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面雨量分布图、蒸散发产品</w:t>
            </w:r>
          </w:p>
        </w:tc>
      </w:tr>
    </w:tbl>
    <w:p w14:paraId="2F5D54D5">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kern w:val="21"/>
          <w:lang w:eastAsia="zh-CN"/>
        </w:rPr>
      </w:pPr>
      <w:bookmarkStart w:id="62" w:name="_Toc28550"/>
      <w:r>
        <w:rPr>
          <w:rFonts w:hint="eastAsia" w:ascii="Times New Roman" w:hAnsi="Times New Roman" w:eastAsia="黑体" w:cs="黑体"/>
          <w:b/>
          <w:bCs/>
          <w:kern w:val="21"/>
        </w:rPr>
        <w:t xml:space="preserve">6.4 </w:t>
      </w:r>
      <w:r>
        <w:rPr>
          <w:rFonts w:hint="eastAsia" w:ascii="Times New Roman" w:hAnsi="Times New Roman" w:eastAsia="黑体" w:cs="黑体"/>
          <w:b/>
          <w:bCs/>
          <w:kern w:val="21"/>
          <w:lang w:val="en-US" w:eastAsia="zh-CN"/>
        </w:rPr>
        <w:t xml:space="preserve"> </w:t>
      </w:r>
      <w:r>
        <w:rPr>
          <w:rFonts w:hint="eastAsia" w:ascii="Times New Roman" w:hAnsi="Times New Roman" w:eastAsia="黑体" w:cs="黑体"/>
          <w:b w:val="0"/>
          <w:bCs w:val="0"/>
          <w:kern w:val="21"/>
        </w:rPr>
        <w:t>技术处理要求</w:t>
      </w:r>
      <w:bookmarkEnd w:id="62"/>
    </w:p>
    <w:p w14:paraId="76D58636">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rPr>
        <w:t xml:space="preserve">6.4.1 </w:t>
      </w:r>
      <w:r>
        <w:rPr>
          <w:rFonts w:hint="eastAsia" w:ascii="Times New Roman" w:hAnsi="Times New Roman"/>
          <w:szCs w:val="24"/>
          <w:lang w:eastAsia="zh-CN"/>
        </w:rPr>
        <w:t>数据预处理</w:t>
      </w:r>
    </w:p>
    <w:p w14:paraId="17C0B4EF">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获取的原始卫星数据应进行必要的预处理，包括：</w:t>
      </w:r>
    </w:p>
    <w:p w14:paraId="0A439D33">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rPr>
        <w:t>a) 辐射定标：将卫星观测的原始数字量化值（DN）转换为具有物理意义的表观辐亮度或反射率</w:t>
      </w:r>
      <w:r>
        <w:rPr>
          <w:rFonts w:hint="eastAsia" w:ascii="Times New Roman" w:hAnsi="Times New Roman"/>
          <w:szCs w:val="24"/>
          <w:lang w:eastAsia="zh-CN"/>
        </w:rPr>
        <w:t>；</w:t>
      </w:r>
    </w:p>
    <w:p w14:paraId="3908565D">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rPr>
        <w:t>b) 大气校正：消除大气分子、气溶胶等对卫星信号的散射和吸收影响，获得地物真实表面反射率</w:t>
      </w:r>
      <w:r>
        <w:rPr>
          <w:rFonts w:hint="eastAsia" w:ascii="Times New Roman" w:hAnsi="Times New Roman"/>
          <w:szCs w:val="24"/>
          <w:lang w:eastAsia="zh-CN"/>
        </w:rPr>
        <w:t>；</w:t>
      </w:r>
    </w:p>
    <w:p w14:paraId="731D44DB">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c) 几何精校正：消除传感器姿态、地形起伏等造成的几何畸变，使影像坐标与标准地图坐标匹配，平面定位中误差应满足GB/T 15968相关标准的要求。</w:t>
      </w:r>
    </w:p>
    <w:p w14:paraId="74F4129E">
      <w:pPr>
        <w:adjustRightInd/>
        <w:spacing w:line="360" w:lineRule="auto"/>
        <w:ind w:firstLine="420" w:firstLineChars="200"/>
        <w:rPr>
          <w:rFonts w:hint="eastAsia" w:ascii="Times New Roman" w:hAnsi="Times New Roman" w:eastAsia="宋体"/>
          <w:szCs w:val="24"/>
          <w:lang w:val="en-US" w:eastAsia="zh-CN"/>
        </w:rPr>
      </w:pPr>
      <w:r>
        <w:rPr>
          <w:rFonts w:hint="eastAsia" w:ascii="Times New Roman" w:hAnsi="Times New Roman"/>
          <w:szCs w:val="24"/>
        </w:rPr>
        <w:t>6.4.2 信息提取与反演</w:t>
      </w:r>
    </w:p>
    <w:p w14:paraId="7858A936">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lang w:val="en-US" w:eastAsia="zh-CN"/>
        </w:rPr>
        <w:t>6.4.2.1</w:t>
      </w:r>
      <w:r>
        <w:rPr>
          <w:rFonts w:hint="eastAsia" w:ascii="Times New Roman" w:hAnsi="Times New Roman"/>
          <w:szCs w:val="24"/>
        </w:rPr>
        <w:t xml:space="preserve"> 应选择经过验证的成熟算法模型从预处理后的影像中提取信息（如水体指数、变化检测）或反演物理参数（如水质参数）</w:t>
      </w:r>
      <w:r>
        <w:rPr>
          <w:rFonts w:hint="eastAsia" w:ascii="Times New Roman" w:hAnsi="Times New Roman"/>
          <w:szCs w:val="24"/>
          <w:lang w:eastAsia="zh-CN"/>
        </w:rPr>
        <w:t>。</w:t>
      </w:r>
    </w:p>
    <w:p w14:paraId="145B0E50">
      <w:pPr>
        <w:adjustRightInd/>
        <w:spacing w:line="360" w:lineRule="auto"/>
        <w:ind w:firstLine="420" w:firstLineChars="200"/>
        <w:rPr>
          <w:rFonts w:hint="eastAsia" w:ascii="Times New Roman" w:hAnsi="Times New Roman"/>
          <w:szCs w:val="24"/>
        </w:rPr>
      </w:pPr>
      <w:r>
        <w:rPr>
          <w:rFonts w:hint="eastAsia" w:ascii="Times New Roman" w:hAnsi="Times New Roman"/>
          <w:szCs w:val="24"/>
          <w:lang w:val="en-US" w:eastAsia="zh-CN"/>
        </w:rPr>
        <w:t>6.4.2.2</w:t>
      </w:r>
      <w:r>
        <w:rPr>
          <w:rFonts w:hint="eastAsia" w:ascii="Times New Roman" w:hAnsi="Times New Roman"/>
          <w:szCs w:val="24"/>
        </w:rPr>
        <w:t xml:space="preserve"> 反演模型应利用研究区域的地面实测数据进行验证和参数率定，反演结果的精度应予以明确评估和记录。关键参数反演结果与实地测量值的决定系数（R²）不宜低于0.7。</w:t>
      </w:r>
    </w:p>
    <w:p w14:paraId="54804B57">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6.4.3 产品生成</w:t>
      </w:r>
    </w:p>
    <w:p w14:paraId="32398EDF">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监测成果应以标准化的格式输出，如图片（GeoTIFF、PNG）、矢量数据（Shapefile）、图表和报告等，并附有完整的元数据信息，包括数据源、处理时间、处理算法、精度说明等。</w:t>
      </w:r>
    </w:p>
    <w:p w14:paraId="451CD7C6">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kern w:val="21"/>
          <w:lang w:eastAsia="zh-CN"/>
        </w:rPr>
      </w:pPr>
      <w:bookmarkStart w:id="63" w:name="_Toc10214"/>
      <w:r>
        <w:rPr>
          <w:rFonts w:hint="eastAsia" w:ascii="Times New Roman" w:hAnsi="Times New Roman" w:eastAsia="黑体" w:cs="黑体"/>
          <w:b/>
          <w:bCs/>
          <w:kern w:val="21"/>
        </w:rPr>
        <w:t xml:space="preserve">6.5 </w:t>
      </w:r>
      <w:r>
        <w:rPr>
          <w:rFonts w:hint="eastAsia" w:ascii="Times New Roman" w:hAnsi="Times New Roman" w:eastAsia="黑体" w:cs="黑体"/>
          <w:b/>
          <w:bCs/>
          <w:kern w:val="21"/>
          <w:lang w:val="en-US" w:eastAsia="zh-CN"/>
        </w:rPr>
        <w:t xml:space="preserve"> </w:t>
      </w:r>
      <w:r>
        <w:rPr>
          <w:rFonts w:hint="eastAsia" w:ascii="Times New Roman" w:hAnsi="Times New Roman" w:eastAsia="黑体" w:cs="黑体"/>
          <w:b w:val="0"/>
          <w:bCs w:val="0"/>
          <w:kern w:val="21"/>
        </w:rPr>
        <w:t>数据管理与共享</w:t>
      </w:r>
      <w:bookmarkEnd w:id="63"/>
    </w:p>
    <w:p w14:paraId="6E5108EB">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6.5.1 处理后的天基监测数据、中间成果和最终产品应纳入统一的水网监测数据中心进行管理。</w:t>
      </w:r>
    </w:p>
    <w:p w14:paraId="6DCFAE17">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6.5.2 数据应按照统一的时空基准（如坐标系采用CGCS2000，高程基准采用1985国家高程基准）进行组织和管理，以方便与空基、地基数据的融合应用。</w:t>
      </w:r>
    </w:p>
    <w:p w14:paraId="4A32FACC">
      <w:pPr>
        <w:keepNext/>
        <w:keepLines/>
        <w:pageBreakBefore w:val="0"/>
        <w:widowControl w:val="0"/>
        <w:numPr>
          <w:ilvl w:val="0"/>
          <w:numId w:val="32"/>
        </w:numPr>
        <w:kinsoku/>
        <w:wordWrap/>
        <w:overflowPunct/>
        <w:topLinePunct w:val="0"/>
        <w:autoSpaceDE/>
        <w:autoSpaceDN/>
        <w:bidi w:val="0"/>
        <w:adjustRightInd/>
        <w:snapToGrid/>
        <w:spacing w:before="313" w:beforeLines="100" w:after="313" w:afterLines="100" w:line="240" w:lineRule="auto"/>
        <w:ind w:left="363" w:leftChars="0" w:hanging="363" w:firstLineChars="0"/>
        <w:textAlignment w:val="auto"/>
        <w:outlineLvl w:val="0"/>
        <w:rPr>
          <w:rFonts w:hint="eastAsia" w:ascii="Times New Roman" w:hAnsi="Times New Roman" w:eastAsia="黑体"/>
          <w:b/>
          <w:bCs w:val="0"/>
          <w:kern w:val="44"/>
          <w:lang w:val="en-US" w:eastAsia="zh-CN"/>
        </w:rPr>
      </w:pPr>
      <w:bookmarkStart w:id="64" w:name="_Toc9746"/>
      <w:r>
        <w:rPr>
          <w:rFonts w:hint="eastAsia" w:ascii="Times New Roman" w:hAnsi="Times New Roman" w:eastAsia="黑体"/>
          <w:b/>
          <w:bCs w:val="0"/>
          <w:kern w:val="44"/>
          <w:lang w:val="en-US" w:eastAsia="zh-CN"/>
        </w:rPr>
        <w:t>施工数字化管理</w:t>
      </w:r>
      <w:bookmarkEnd w:id="64"/>
    </w:p>
    <w:p w14:paraId="52276FA2">
      <w:pPr>
        <w:keepNext/>
        <w:keepLines/>
        <w:tabs>
          <w:tab w:val="left" w:pos="420"/>
          <w:tab w:val="left" w:pos="540"/>
        </w:tabs>
        <w:adjustRightInd/>
        <w:spacing w:before="156" w:beforeLines="50" w:after="156" w:afterLines="50" w:line="240" w:lineRule="auto"/>
        <w:outlineLvl w:val="1"/>
        <w:rPr>
          <w:rFonts w:hint="default" w:ascii="Times New Roman" w:hAnsi="Times New Roman" w:eastAsia="黑体" w:cs="黑体"/>
          <w:b/>
          <w:bCs/>
          <w:kern w:val="21"/>
        </w:rPr>
      </w:pPr>
      <w:bookmarkStart w:id="65" w:name="_Toc5976"/>
      <w:bookmarkStart w:id="66" w:name="_Toc29787"/>
      <w:r>
        <w:rPr>
          <w:rFonts w:hint="default" w:ascii="Times New Roman" w:hAnsi="Times New Roman" w:eastAsia="黑体" w:cs="黑体"/>
          <w:b/>
          <w:bCs/>
          <w:kern w:val="21"/>
        </w:rPr>
        <w:t>7.1</w:t>
      </w:r>
      <w:r>
        <w:rPr>
          <w:rFonts w:hint="default" w:ascii="Times New Roman" w:hAnsi="Times New Roman" w:eastAsia="黑体" w:cs="黑体"/>
          <w:b/>
          <w:bCs/>
          <w:kern w:val="21"/>
          <w:lang w:val="en-US" w:eastAsia="zh-CN"/>
        </w:rPr>
        <w:t xml:space="preserve">  </w:t>
      </w:r>
      <w:r>
        <w:rPr>
          <w:rFonts w:hint="default" w:ascii="Times New Roman" w:hAnsi="Times New Roman" w:eastAsia="黑体" w:cs="黑体"/>
          <w:b w:val="0"/>
          <w:bCs w:val="0"/>
          <w:kern w:val="21"/>
        </w:rPr>
        <w:t>一般规定</w:t>
      </w:r>
      <w:bookmarkEnd w:id="65"/>
      <w:bookmarkEnd w:id="66"/>
    </w:p>
    <w:p w14:paraId="51D9911A">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7.1.1 空基监测应侧重于重点区域的精细化、机动性监测和应急响应，适用于获取重点区域高分辨率、高精度、机动灵活的监测数据。</w:t>
      </w:r>
    </w:p>
    <w:p w14:paraId="50747C3D">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7.1.2 空基监测作业应遵守国家空域管理、航空安全及无人机飞行管理的相关法律法规，确保飞行安全。</w:t>
      </w:r>
    </w:p>
    <w:p w14:paraId="6505F059">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7.1.3 应根据监测任务的目标、范围、精度和时效性要求，合理选择飞行平台、传感器和作业模式</w:t>
      </w:r>
    </w:p>
    <w:p w14:paraId="7EDDD593">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kern w:val="21"/>
        </w:rPr>
      </w:pPr>
      <w:bookmarkStart w:id="67" w:name="_Toc6936"/>
      <w:r>
        <w:rPr>
          <w:rFonts w:hint="eastAsia" w:ascii="Times New Roman" w:hAnsi="Times New Roman" w:eastAsia="黑体" w:cs="黑体"/>
          <w:b/>
          <w:bCs/>
          <w:kern w:val="21"/>
        </w:rPr>
        <w:t xml:space="preserve">7.2 </w:t>
      </w:r>
      <w:r>
        <w:rPr>
          <w:rFonts w:hint="eastAsia" w:ascii="Times New Roman" w:hAnsi="Times New Roman" w:eastAsia="黑体" w:cs="黑体"/>
          <w:b/>
          <w:bCs/>
          <w:kern w:val="21"/>
          <w:lang w:val="en-US" w:eastAsia="zh-CN"/>
        </w:rPr>
        <w:t xml:space="preserve"> </w:t>
      </w:r>
      <w:r>
        <w:rPr>
          <w:rFonts w:hint="eastAsia" w:ascii="Times New Roman" w:hAnsi="Times New Roman" w:eastAsia="黑体" w:cs="黑体"/>
          <w:b w:val="0"/>
          <w:bCs w:val="0"/>
          <w:kern w:val="21"/>
        </w:rPr>
        <w:t>飞行平台与传感器配置</w:t>
      </w:r>
      <w:bookmarkEnd w:id="67"/>
    </w:p>
    <w:p w14:paraId="0D22BD3A">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7.2.1 飞行平台</w:t>
      </w:r>
    </w:p>
    <w:p w14:paraId="4D9C5C82">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rPr>
        <w:t>飞行平台</w:t>
      </w:r>
      <w:r>
        <w:rPr>
          <w:rFonts w:hint="eastAsia" w:ascii="Times New Roman" w:hAnsi="Times New Roman"/>
          <w:szCs w:val="24"/>
          <w:lang w:eastAsia="zh-CN"/>
        </w:rPr>
        <w:t>主要类型包括：</w:t>
      </w:r>
    </w:p>
    <w:p w14:paraId="247BDD08">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lang w:val="en-US" w:eastAsia="zh-CN"/>
        </w:rPr>
        <w:t>a)</w:t>
      </w:r>
      <w:r>
        <w:rPr>
          <w:rFonts w:hint="eastAsia" w:ascii="Times New Roman" w:hAnsi="Times New Roman"/>
          <w:szCs w:val="24"/>
        </w:rPr>
        <w:t xml:space="preserve"> 无人机航空器：包括固定翼无人机（适用于大范围、长航时巡查）、多旋翼无人机（适用于小范围、精细化悬停观测、起降条件要求低）、垂直起降固定翼（VTOL）无人机（兼顾航时与起降便利性）。其性能应满足任务区域的航时、航高、抗风能力及载荷要求</w:t>
      </w:r>
      <w:r>
        <w:rPr>
          <w:rFonts w:hint="eastAsia" w:ascii="Times New Roman" w:hAnsi="Times New Roman"/>
          <w:szCs w:val="24"/>
          <w:lang w:eastAsia="zh-CN"/>
        </w:rPr>
        <w:t>；</w:t>
      </w:r>
    </w:p>
    <w:p w14:paraId="6DE28D52">
      <w:pPr>
        <w:adjustRightInd/>
        <w:spacing w:line="360" w:lineRule="auto"/>
        <w:ind w:firstLine="420" w:firstLineChars="200"/>
        <w:rPr>
          <w:rFonts w:hint="eastAsia" w:ascii="Times New Roman" w:hAnsi="Times New Roman"/>
          <w:szCs w:val="24"/>
        </w:rPr>
      </w:pPr>
      <w:r>
        <w:rPr>
          <w:rFonts w:hint="eastAsia" w:ascii="Times New Roman" w:hAnsi="Times New Roman"/>
          <w:szCs w:val="24"/>
          <w:lang w:val="en-US" w:eastAsia="zh-CN"/>
        </w:rPr>
        <w:t>b)</w:t>
      </w:r>
      <w:r>
        <w:rPr>
          <w:rFonts w:hint="eastAsia" w:ascii="Times New Roman" w:hAnsi="Times New Roman"/>
          <w:szCs w:val="24"/>
        </w:rPr>
        <w:t xml:space="preserve"> 有人机航空器：适用于大范围、重型传感器（如大型LiDAR、高光谱成像仪）搭载、长航时作业任务。</w:t>
      </w:r>
    </w:p>
    <w:p w14:paraId="364176FD">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7.2.2 传感器选择</w:t>
      </w:r>
    </w:p>
    <w:p w14:paraId="167044FC">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传感器选择应根据监测要素确定，主要类型包括：</w:t>
      </w:r>
    </w:p>
    <w:p w14:paraId="0CEC8FBA">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rPr>
        <w:t>a) 高分辨率光学相机：适用于正射影像获取、水域岸线测绘、水工设施表观巡检、污染目视识别等</w:t>
      </w:r>
      <w:r>
        <w:rPr>
          <w:rFonts w:hint="eastAsia" w:ascii="Times New Roman" w:hAnsi="Times New Roman"/>
          <w:szCs w:val="24"/>
          <w:lang w:eastAsia="zh-CN"/>
        </w:rPr>
        <w:t>；</w:t>
      </w:r>
    </w:p>
    <w:p w14:paraId="79493D21">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rPr>
        <w:t>b) 多光谱/高光谱成像仪：适用于水质参数（叶绿素a、悬浮物、透明度等）反演、水生植被分类、藻华识别等</w:t>
      </w:r>
      <w:r>
        <w:rPr>
          <w:rFonts w:hint="eastAsia" w:ascii="Times New Roman" w:hAnsi="Times New Roman"/>
          <w:szCs w:val="24"/>
          <w:lang w:eastAsia="zh-CN"/>
        </w:rPr>
        <w:t>；</w:t>
      </w:r>
    </w:p>
    <w:p w14:paraId="1F009184">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rPr>
        <w:t>c) 激光雷达（LiDAR）：适用于高精度数字高程模型（DEM）、数字表面模型（DSM）生成、水下地形测绘（蓝绿激光）、植被冠层高度测量等</w:t>
      </w:r>
      <w:r>
        <w:rPr>
          <w:rFonts w:hint="eastAsia" w:ascii="Times New Roman" w:hAnsi="Times New Roman"/>
          <w:szCs w:val="24"/>
          <w:lang w:eastAsia="zh-CN"/>
        </w:rPr>
        <w:t>；</w:t>
      </w:r>
    </w:p>
    <w:p w14:paraId="663CD84F">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rPr>
        <w:t>d) 红外热成像仪：适用于水体温度场监测、排水口暗管探测、水工设施渗漏异常识别等</w:t>
      </w:r>
      <w:r>
        <w:rPr>
          <w:rFonts w:hint="eastAsia" w:ascii="Times New Roman" w:hAnsi="Times New Roman"/>
          <w:szCs w:val="24"/>
          <w:lang w:eastAsia="zh-CN"/>
        </w:rPr>
        <w:t>；</w:t>
      </w:r>
    </w:p>
    <w:p w14:paraId="5A54DFEA">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e) 合成孔径雷达（SAR）：适用于机载全天时全天候监测，可作为星载SAR的补充。</w:t>
      </w:r>
    </w:p>
    <w:p w14:paraId="7AB3E5B2">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kern w:val="21"/>
        </w:rPr>
      </w:pPr>
      <w:bookmarkStart w:id="68" w:name="_Toc30800"/>
      <w:r>
        <w:rPr>
          <w:rFonts w:hint="eastAsia" w:ascii="Times New Roman" w:hAnsi="Times New Roman" w:eastAsia="黑体" w:cs="黑体"/>
          <w:b/>
          <w:bCs/>
          <w:kern w:val="21"/>
        </w:rPr>
        <w:t xml:space="preserve">7.3 </w:t>
      </w:r>
      <w:r>
        <w:rPr>
          <w:rFonts w:hint="eastAsia" w:ascii="Times New Roman" w:hAnsi="Times New Roman" w:eastAsia="黑体" w:cs="黑体"/>
          <w:b/>
          <w:bCs/>
          <w:kern w:val="21"/>
          <w:lang w:val="en-US" w:eastAsia="zh-CN"/>
        </w:rPr>
        <w:t xml:space="preserve"> </w:t>
      </w:r>
      <w:r>
        <w:rPr>
          <w:rFonts w:hint="eastAsia" w:ascii="Times New Roman" w:hAnsi="Times New Roman" w:eastAsia="黑体" w:cs="黑体"/>
          <w:b w:val="0"/>
          <w:bCs w:val="0"/>
          <w:kern w:val="21"/>
        </w:rPr>
        <w:t>作业 planning与实施</w:t>
      </w:r>
      <w:bookmarkEnd w:id="68"/>
    </w:p>
    <w:p w14:paraId="6758B50A">
      <w:pPr>
        <w:adjustRightInd/>
        <w:spacing w:line="360" w:lineRule="auto"/>
        <w:ind w:firstLine="420" w:firstLineChars="200"/>
        <w:rPr>
          <w:rFonts w:hint="default" w:ascii="Times New Roman" w:hAnsi="Times New Roman" w:eastAsia="宋体"/>
          <w:szCs w:val="24"/>
          <w:lang w:val="en-US" w:eastAsia="zh-CN"/>
        </w:rPr>
      </w:pPr>
      <w:r>
        <w:rPr>
          <w:rFonts w:hint="eastAsia" w:ascii="Times New Roman" w:hAnsi="Times New Roman"/>
          <w:szCs w:val="24"/>
        </w:rPr>
        <w:t>7.3.1</w:t>
      </w:r>
      <w:r>
        <w:rPr>
          <w:rFonts w:hint="eastAsia" w:ascii="Times New Roman" w:hAnsi="Times New Roman"/>
          <w:szCs w:val="24"/>
          <w:lang w:val="en-US" w:eastAsia="zh-CN"/>
        </w:rPr>
        <w:t xml:space="preserve"> </w:t>
      </w:r>
      <w:r>
        <w:rPr>
          <w:rFonts w:hint="eastAsia" w:ascii="Times New Roman" w:hAnsi="Times New Roman"/>
          <w:szCs w:val="24"/>
        </w:rPr>
        <w:t>任务规划</w:t>
      </w:r>
    </w:p>
    <w:p w14:paraId="7516834F">
      <w:pPr>
        <w:numPr>
          <w:ilvl w:val="0"/>
          <w:numId w:val="0"/>
        </w:num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rPr>
        <w:t>7.3.1</w:t>
      </w:r>
      <w:r>
        <w:rPr>
          <w:rFonts w:hint="eastAsia" w:ascii="Times New Roman" w:hAnsi="Times New Roman"/>
          <w:szCs w:val="24"/>
          <w:lang w:val="en-US" w:eastAsia="zh-CN"/>
        </w:rPr>
        <w:t xml:space="preserve">.1 </w:t>
      </w:r>
      <w:r>
        <w:rPr>
          <w:rFonts w:hint="eastAsia" w:ascii="Times New Roman" w:hAnsi="Times New Roman"/>
          <w:szCs w:val="24"/>
        </w:rPr>
        <w:t>应根据监测目标、精度要求和传感器参数，进行航摄设计，确定飞行高度、航速、航向重叠度与旁向重叠度</w:t>
      </w:r>
      <w:r>
        <w:rPr>
          <w:rFonts w:hint="eastAsia" w:ascii="Times New Roman" w:hAnsi="Times New Roman"/>
          <w:szCs w:val="24"/>
          <w:lang w:eastAsia="zh-CN"/>
        </w:rPr>
        <w:t>，</w:t>
      </w:r>
      <w:r>
        <w:rPr>
          <w:rFonts w:hint="eastAsia" w:ascii="Times New Roman" w:hAnsi="Times New Roman"/>
          <w:szCs w:val="24"/>
        </w:rPr>
        <w:t>航摄设计应满足后续数据处理生成正射影像图（DOM）、三维模型等成果的精度要求</w:t>
      </w:r>
      <w:r>
        <w:rPr>
          <w:rFonts w:hint="eastAsia" w:ascii="Times New Roman" w:hAnsi="Times New Roman"/>
          <w:szCs w:val="24"/>
          <w:lang w:eastAsia="zh-CN"/>
        </w:rPr>
        <w:t>；低空数字航空摄影测量作业应符合CH/T 300</w:t>
      </w:r>
      <w:r>
        <w:rPr>
          <w:rFonts w:hint="eastAsia" w:ascii="Times New Roman" w:hAnsi="Times New Roman"/>
          <w:szCs w:val="24"/>
          <w:lang w:val="en-US" w:eastAsia="zh-CN"/>
        </w:rPr>
        <w:t>4和</w:t>
      </w:r>
      <w:r>
        <w:rPr>
          <w:rFonts w:hint="eastAsia" w:ascii="Times New Roman" w:hAnsi="Times New Roman"/>
          <w:szCs w:val="24"/>
          <w:lang w:eastAsia="zh-CN"/>
        </w:rPr>
        <w:t>CH/T 300</w:t>
      </w:r>
      <w:r>
        <w:rPr>
          <w:rFonts w:hint="eastAsia" w:ascii="Times New Roman" w:hAnsi="Times New Roman"/>
          <w:szCs w:val="24"/>
          <w:lang w:val="en-US" w:eastAsia="zh-CN"/>
        </w:rPr>
        <w:t>6</w:t>
      </w:r>
      <w:r>
        <w:rPr>
          <w:rFonts w:hint="eastAsia" w:ascii="Times New Roman" w:hAnsi="Times New Roman"/>
          <w:szCs w:val="24"/>
          <w:lang w:eastAsia="zh-CN"/>
        </w:rPr>
        <w:t>的规定。</w:t>
      </w:r>
    </w:p>
    <w:p w14:paraId="0AC16733">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rPr>
        <w:t>7.3.1</w:t>
      </w:r>
      <w:r>
        <w:rPr>
          <w:rFonts w:hint="eastAsia" w:ascii="Times New Roman" w:hAnsi="Times New Roman"/>
          <w:szCs w:val="24"/>
          <w:lang w:val="en-US" w:eastAsia="zh-CN"/>
        </w:rPr>
        <w:t>.2</w:t>
      </w:r>
      <w:r>
        <w:rPr>
          <w:rFonts w:hint="eastAsia" w:ascii="Times New Roman" w:hAnsi="Times New Roman"/>
          <w:szCs w:val="24"/>
        </w:rPr>
        <w:t xml:space="preserve"> 多光谱、高光谱及LiDAR作业前，应对传感器进行现场标定或校准</w:t>
      </w:r>
      <w:r>
        <w:rPr>
          <w:rFonts w:hint="eastAsia" w:ascii="Times New Roman" w:hAnsi="Times New Roman"/>
          <w:szCs w:val="24"/>
          <w:lang w:eastAsia="zh-CN"/>
        </w:rPr>
        <w:t>。</w:t>
      </w:r>
    </w:p>
    <w:p w14:paraId="180D7E03">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7.3.1</w:t>
      </w:r>
      <w:r>
        <w:rPr>
          <w:rFonts w:hint="eastAsia" w:ascii="Times New Roman" w:hAnsi="Times New Roman"/>
          <w:szCs w:val="24"/>
          <w:lang w:val="en-US" w:eastAsia="zh-CN"/>
        </w:rPr>
        <w:t>.3</w:t>
      </w:r>
      <w:r>
        <w:rPr>
          <w:rFonts w:hint="eastAsia" w:ascii="Times New Roman" w:hAnsi="Times New Roman"/>
          <w:szCs w:val="24"/>
        </w:rPr>
        <w:t xml:space="preserve"> 应制定应急预案，应对恶劣天气、设备故障、通讯中断等突发状况。</w:t>
      </w:r>
    </w:p>
    <w:p w14:paraId="7954A4C4">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7.3.2 飞行作业</w:t>
      </w:r>
    </w:p>
    <w:p w14:paraId="353D80D0">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7.3.</w:t>
      </w:r>
      <w:r>
        <w:rPr>
          <w:rFonts w:hint="eastAsia" w:ascii="Times New Roman" w:hAnsi="Times New Roman"/>
          <w:szCs w:val="24"/>
          <w:lang w:val="en-US" w:eastAsia="zh-CN"/>
        </w:rPr>
        <w:t>2.1</w:t>
      </w:r>
      <w:r>
        <w:rPr>
          <w:rFonts w:hint="eastAsia" w:ascii="Times New Roman" w:hAnsi="Times New Roman"/>
          <w:szCs w:val="24"/>
        </w:rPr>
        <w:t xml:space="preserve"> 作业前应进行空域申请与报备，获取飞行许可。</w:t>
      </w:r>
    </w:p>
    <w:p w14:paraId="5148852C">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7.3.</w:t>
      </w:r>
      <w:r>
        <w:rPr>
          <w:rFonts w:hint="eastAsia" w:ascii="Times New Roman" w:hAnsi="Times New Roman"/>
          <w:szCs w:val="24"/>
          <w:lang w:val="en-US" w:eastAsia="zh-CN"/>
        </w:rPr>
        <w:t>2.2</w:t>
      </w:r>
      <w:r>
        <w:rPr>
          <w:rFonts w:hint="eastAsia" w:ascii="Times New Roman" w:hAnsi="Times New Roman"/>
          <w:szCs w:val="24"/>
        </w:rPr>
        <w:t xml:space="preserve"> 起飞前应对飞行平台、传感器、通讯链路进行全面检查。</w:t>
      </w:r>
    </w:p>
    <w:p w14:paraId="64257067">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7.3.</w:t>
      </w:r>
      <w:r>
        <w:rPr>
          <w:rFonts w:hint="eastAsia" w:ascii="Times New Roman" w:hAnsi="Times New Roman"/>
          <w:szCs w:val="24"/>
          <w:lang w:val="en-US" w:eastAsia="zh-CN"/>
        </w:rPr>
        <w:t>2.3</w:t>
      </w:r>
      <w:r>
        <w:rPr>
          <w:rFonts w:hint="eastAsia" w:ascii="Times New Roman" w:hAnsi="Times New Roman"/>
          <w:szCs w:val="24"/>
        </w:rPr>
        <w:t xml:space="preserve"> 飞行过程中应实时监控飞行状态、传感器工作状态、数据获取质量及通讯链路状态。</w:t>
      </w:r>
    </w:p>
    <w:p w14:paraId="1BCBAA4A">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7.3.3 质量控制</w:t>
      </w:r>
    </w:p>
    <w:p w14:paraId="4805D6F6">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rPr>
        <w:t>7.3.3</w:t>
      </w:r>
      <w:r>
        <w:rPr>
          <w:rFonts w:hint="eastAsia" w:ascii="Times New Roman" w:hAnsi="Times New Roman"/>
          <w:szCs w:val="24"/>
          <w:lang w:val="en-US" w:eastAsia="zh-CN"/>
        </w:rPr>
        <w:t>.1</w:t>
      </w:r>
      <w:r>
        <w:rPr>
          <w:rFonts w:hint="eastAsia" w:ascii="Times New Roman" w:hAnsi="Times New Roman"/>
          <w:szCs w:val="24"/>
        </w:rPr>
        <w:t xml:space="preserve"> 飞行结束后，应即时检查数据的完整性、覆盖度和初步质量</w:t>
      </w:r>
      <w:r>
        <w:rPr>
          <w:rFonts w:hint="eastAsia" w:ascii="Times New Roman" w:hAnsi="Times New Roman"/>
          <w:szCs w:val="24"/>
          <w:lang w:eastAsia="zh-CN"/>
        </w:rPr>
        <w:t>。</w:t>
      </w:r>
    </w:p>
    <w:p w14:paraId="3E853434">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7.3.3</w:t>
      </w:r>
      <w:r>
        <w:rPr>
          <w:rFonts w:hint="eastAsia" w:ascii="Times New Roman" w:hAnsi="Times New Roman"/>
          <w:szCs w:val="24"/>
          <w:lang w:val="en-US" w:eastAsia="zh-CN"/>
        </w:rPr>
        <w:t>.2</w:t>
      </w:r>
      <w:r>
        <w:rPr>
          <w:rFonts w:hint="eastAsia" w:ascii="Times New Roman" w:hAnsi="Times New Roman"/>
          <w:szCs w:val="24"/>
        </w:rPr>
        <w:t xml:space="preserve"> 宜采用差分GNSS（RTK/PPK）技术获取高精度POS（位置姿态系统）数据，提升直接地理定位精度。</w:t>
      </w:r>
    </w:p>
    <w:p w14:paraId="12CD5CFD">
      <w:pPr>
        <w:keepNext/>
        <w:keepLines/>
        <w:tabs>
          <w:tab w:val="left" w:pos="420"/>
          <w:tab w:val="left" w:pos="540"/>
        </w:tabs>
        <w:adjustRightInd/>
        <w:spacing w:before="156" w:beforeLines="50" w:after="156" w:afterLines="50" w:line="240" w:lineRule="auto"/>
        <w:outlineLvl w:val="1"/>
        <w:rPr>
          <w:rFonts w:hint="eastAsia" w:ascii="Times New Roman" w:hAnsi="Times New Roman"/>
          <w:szCs w:val="24"/>
        </w:rPr>
      </w:pPr>
      <w:bookmarkStart w:id="69" w:name="_Toc6572"/>
      <w:r>
        <w:rPr>
          <w:rFonts w:hint="eastAsia" w:ascii="Times New Roman" w:hAnsi="Times New Roman" w:eastAsia="黑体" w:cs="黑体"/>
          <w:b/>
          <w:bCs/>
          <w:kern w:val="21"/>
        </w:rPr>
        <w:t xml:space="preserve">7.4 </w:t>
      </w:r>
      <w:r>
        <w:rPr>
          <w:rFonts w:hint="eastAsia" w:ascii="Times New Roman" w:hAnsi="Times New Roman" w:eastAsia="黑体" w:cs="黑体"/>
          <w:b/>
          <w:bCs/>
          <w:kern w:val="21"/>
          <w:lang w:val="en-US" w:eastAsia="zh-CN"/>
        </w:rPr>
        <w:t xml:space="preserve"> </w:t>
      </w:r>
      <w:r>
        <w:rPr>
          <w:rFonts w:hint="eastAsia" w:ascii="Times New Roman" w:hAnsi="Times New Roman" w:eastAsia="黑体" w:cs="黑体"/>
          <w:b w:val="0"/>
          <w:bCs w:val="0"/>
          <w:kern w:val="21"/>
        </w:rPr>
        <w:t>监测内容与要求</w:t>
      </w:r>
      <w:bookmarkEnd w:id="69"/>
    </w:p>
    <w:p w14:paraId="1458D63C">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空基监测的主要内容和技术要求应符合表3的规定。</w:t>
      </w:r>
    </w:p>
    <w:p w14:paraId="0001BF8B">
      <w:pPr>
        <w:adjustRightInd/>
        <w:spacing w:line="360" w:lineRule="auto"/>
        <w:jc w:val="center"/>
        <w:rPr>
          <w:rFonts w:hint="eastAsia" w:ascii="Times New Roman" w:hAnsi="Times New Roman"/>
          <w:szCs w:val="24"/>
        </w:rPr>
      </w:pPr>
      <w:r>
        <w:rPr>
          <w:rFonts w:hint="eastAsia" w:ascii="Times New Roman" w:hAnsi="Times New Roman"/>
          <w:szCs w:val="24"/>
        </w:rPr>
        <w:t>表3 空基监测主要内容与技术要求</w:t>
      </w:r>
    </w:p>
    <w:tbl>
      <w:tblPr>
        <w:tblStyle w:val="30"/>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92"/>
        <w:gridCol w:w="2443"/>
        <w:gridCol w:w="1738"/>
        <w:gridCol w:w="1444"/>
        <w:gridCol w:w="2036"/>
      </w:tblGrid>
      <w:tr w14:paraId="36E46D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1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5D9F1">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监测类别</w:t>
            </w:r>
          </w:p>
        </w:tc>
        <w:tc>
          <w:tcPr>
            <w:tcW w:w="2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650D3">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主要应用</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7CD18">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推荐传感器组合</w:t>
            </w:r>
          </w:p>
        </w:tc>
        <w:tc>
          <w:tcPr>
            <w:tcW w:w="1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537B8">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空间分辨率要求</w:t>
            </w:r>
          </w:p>
        </w:tc>
        <w:tc>
          <w:tcPr>
            <w:tcW w:w="2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2CEFC">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成果类型与精度要求</w:t>
            </w:r>
          </w:p>
        </w:tc>
      </w:tr>
      <w:tr w14:paraId="0FD241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08129">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地形地貌与水域岸线</w:t>
            </w:r>
          </w:p>
        </w:tc>
        <w:tc>
          <w:tcPr>
            <w:tcW w:w="2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DEF3F">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高精度DEM/DSM生成、水下地形测量、岸线精细测绘、土方量计算</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48880">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LiDAR、高分辨率光学相机</w:t>
            </w:r>
          </w:p>
        </w:tc>
        <w:tc>
          <w:tcPr>
            <w:tcW w:w="1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CB27C">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≤0.1m（LiDAR点云密度≥8pts/m²）</w:t>
            </w:r>
          </w:p>
        </w:tc>
        <w:tc>
          <w:tcPr>
            <w:tcW w:w="2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BBAF1">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DEM/DSM（高程精度≤0.1m）、DOM（平面精度≤0.1m）</w:t>
            </w:r>
          </w:p>
        </w:tc>
      </w:tr>
      <w:tr w14:paraId="79C052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BD7CF">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水质水环境</w:t>
            </w:r>
          </w:p>
        </w:tc>
        <w:tc>
          <w:tcPr>
            <w:tcW w:w="2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52ACF">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水质参数（Chla、TSS、SDD等）空间分异反演、排污口/污染源精准定位、藻华空间分布监测</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9E862">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高光谱/多光谱成像仪、光学相机</w:t>
            </w:r>
          </w:p>
        </w:tc>
        <w:tc>
          <w:tcPr>
            <w:tcW w:w="1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FC1BE">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≤1m</w:t>
            </w:r>
          </w:p>
        </w:tc>
        <w:tc>
          <w:tcPr>
            <w:tcW w:w="2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65E02">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水质参数反演专题图（与实地测量值R²≥0.8）、排污口分布矢量图</w:t>
            </w:r>
          </w:p>
        </w:tc>
      </w:tr>
      <w:tr w14:paraId="3B153F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7C031">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水生态</w:t>
            </w:r>
          </w:p>
        </w:tc>
        <w:tc>
          <w:tcPr>
            <w:tcW w:w="2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65411">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水生植被（沉水、挺水、浮叶植物）分类与生物量估算、栖息地制图</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F1CC4">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高光谱成像仪、LiDAR、光学相机</w:t>
            </w:r>
          </w:p>
        </w:tc>
        <w:tc>
          <w:tcPr>
            <w:tcW w:w="1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2CDB9">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≤0.5m</w:t>
            </w:r>
          </w:p>
        </w:tc>
        <w:tc>
          <w:tcPr>
            <w:tcW w:w="2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5F7AA">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水生植被分类图（分类精度≥85%）</w:t>
            </w:r>
          </w:p>
        </w:tc>
      </w:tr>
      <w:tr w14:paraId="5F4716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EC929">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水利工程安全与巡检</w:t>
            </w:r>
          </w:p>
        </w:tc>
        <w:tc>
          <w:tcPr>
            <w:tcW w:w="2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B4148">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大坝、堤防、水库等设施表观缺陷识别、渗漏探测、变形监测</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A8391">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高分辨率光学相机、红外热成像仪、机载InSAR</w:t>
            </w:r>
          </w:p>
        </w:tc>
        <w:tc>
          <w:tcPr>
            <w:tcW w:w="1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070F9">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≤0.03m</w:t>
            </w:r>
          </w:p>
        </w:tc>
        <w:tc>
          <w:tcPr>
            <w:tcW w:w="2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27E11">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正射影像图、红外热力图、病害分布图与报告</w:t>
            </w:r>
          </w:p>
        </w:tc>
      </w:tr>
      <w:tr w14:paraId="04BEB5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E0848">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应急监测</w:t>
            </w:r>
          </w:p>
        </w:tc>
        <w:tc>
          <w:tcPr>
            <w:tcW w:w="2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2E628">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洪涝灾害淹没范围与水深快速评估、溃口识别、冰凌监测</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0D396">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高分辨率光学相机、LiDAR、视频摄像机</w:t>
            </w:r>
          </w:p>
        </w:tc>
        <w:tc>
          <w:tcPr>
            <w:tcW w:w="1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FE751">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≤0.5m（应急）</w:t>
            </w:r>
          </w:p>
        </w:tc>
        <w:tc>
          <w:tcPr>
            <w:tcW w:w="2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B50E0">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快速镶嵌影像、淹没范围图、灾情评估报告</w:t>
            </w:r>
          </w:p>
        </w:tc>
      </w:tr>
    </w:tbl>
    <w:p w14:paraId="7DCB4E74">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kern w:val="21"/>
        </w:rPr>
      </w:pPr>
      <w:bookmarkStart w:id="70" w:name="_Toc29506"/>
      <w:r>
        <w:rPr>
          <w:rFonts w:hint="eastAsia" w:ascii="Times New Roman" w:hAnsi="Times New Roman" w:eastAsia="黑体" w:cs="黑体"/>
          <w:b/>
          <w:bCs/>
          <w:kern w:val="21"/>
        </w:rPr>
        <w:t xml:space="preserve">7.5 </w:t>
      </w:r>
      <w:r>
        <w:rPr>
          <w:rFonts w:hint="eastAsia" w:ascii="Times New Roman" w:hAnsi="Times New Roman" w:eastAsia="黑体" w:cs="黑体"/>
          <w:b/>
          <w:bCs/>
          <w:kern w:val="21"/>
          <w:lang w:val="en-US" w:eastAsia="zh-CN"/>
        </w:rPr>
        <w:t xml:space="preserve"> </w:t>
      </w:r>
      <w:r>
        <w:rPr>
          <w:rFonts w:hint="eastAsia" w:ascii="Times New Roman" w:hAnsi="Times New Roman" w:eastAsia="黑体" w:cs="黑体"/>
          <w:b w:val="0"/>
          <w:bCs w:val="0"/>
          <w:kern w:val="21"/>
        </w:rPr>
        <w:t>数据处理与产品生成</w:t>
      </w:r>
      <w:bookmarkEnd w:id="70"/>
    </w:p>
    <w:p w14:paraId="38B75630">
      <w:pPr>
        <w:adjustRightInd/>
        <w:spacing w:line="360" w:lineRule="auto"/>
        <w:ind w:firstLine="420" w:firstLineChars="200"/>
        <w:rPr>
          <w:rFonts w:hint="eastAsia" w:ascii="Times New Roman" w:hAnsi="Times New Roman" w:eastAsia="宋体"/>
          <w:szCs w:val="24"/>
          <w:lang w:val="en-US" w:eastAsia="zh-CN"/>
        </w:rPr>
      </w:pPr>
      <w:r>
        <w:rPr>
          <w:rFonts w:hint="eastAsia" w:ascii="Times New Roman" w:hAnsi="Times New Roman"/>
          <w:szCs w:val="24"/>
        </w:rPr>
        <w:t xml:space="preserve">7.5.1 </w:t>
      </w:r>
      <w:r>
        <w:rPr>
          <w:rFonts w:hint="eastAsia" w:ascii="Times New Roman" w:hAnsi="Times New Roman"/>
          <w:szCs w:val="24"/>
          <w:lang w:eastAsia="zh-CN"/>
        </w:rPr>
        <w:t>数据预处理</w:t>
      </w:r>
    </w:p>
    <w:p w14:paraId="25AD5565">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原始数据应经过预处理，包括：</w:t>
      </w:r>
    </w:p>
    <w:p w14:paraId="53BF3934">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rPr>
        <w:t>a) 数据解算：对POS数据进行联合解算，获取高精度每张影像/每个激光点的外方位元素</w:t>
      </w:r>
      <w:r>
        <w:rPr>
          <w:rFonts w:hint="eastAsia" w:ascii="Times New Roman" w:hAnsi="Times New Roman"/>
          <w:szCs w:val="24"/>
          <w:lang w:val="en-US" w:eastAsia="zh-CN"/>
        </w:rPr>
        <w:t>;</w:t>
      </w:r>
    </w:p>
    <w:p w14:paraId="152A7C7E">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rPr>
        <w:t>b) 点云处理（针对LiDAR）：点云去噪、分类（地面、植被、建筑等）、生成DEM/DSM</w:t>
      </w:r>
      <w:r>
        <w:rPr>
          <w:rFonts w:hint="eastAsia" w:ascii="Times New Roman" w:hAnsi="Times New Roman"/>
          <w:szCs w:val="24"/>
          <w:lang w:val="en-US" w:eastAsia="zh-CN"/>
        </w:rPr>
        <w:t>；</w:t>
      </w:r>
    </w:p>
    <w:p w14:paraId="45C1D680">
      <w:pPr>
        <w:adjustRightInd/>
        <w:spacing w:line="360" w:lineRule="auto"/>
        <w:ind w:firstLine="420" w:firstLineChars="200"/>
        <w:rPr>
          <w:rFonts w:hint="eastAsia" w:ascii="Times New Roman" w:hAnsi="Times New Roman" w:eastAsia="宋体"/>
          <w:szCs w:val="24"/>
          <w:lang w:val="en-US" w:eastAsia="zh-CN"/>
        </w:rPr>
      </w:pPr>
      <w:r>
        <w:rPr>
          <w:rFonts w:hint="eastAsia" w:ascii="Times New Roman" w:hAnsi="Times New Roman"/>
          <w:szCs w:val="24"/>
        </w:rPr>
        <w:t>c) 影像处理：影像匀光匀色、多光谱波段配准、空中三角测量、密集匹配生成三维点云、正射纠正、影像拼接镶嵌</w:t>
      </w:r>
      <w:r>
        <w:rPr>
          <w:rFonts w:hint="eastAsia" w:ascii="Times New Roman" w:hAnsi="Times New Roman"/>
          <w:szCs w:val="24"/>
          <w:lang w:eastAsia="zh-CN"/>
        </w:rPr>
        <w:t>；</w:t>
      </w:r>
    </w:p>
    <w:p w14:paraId="4786022D">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d) 光谱数据处理：辐射校正、光谱定标、大气校正，生成地表反射率数据。</w:t>
      </w:r>
    </w:p>
    <w:p w14:paraId="03E6F5E4">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7.5.2 基于预处理后的数据，采用自动化算法或人机交互解译方式，提取专题信息（如水体范围、植被指数、水质参数反演、目标识别）。</w:t>
      </w:r>
    </w:p>
    <w:p w14:paraId="61917C99">
      <w:pPr>
        <w:adjustRightInd/>
        <w:spacing w:line="360" w:lineRule="auto"/>
        <w:ind w:firstLine="420" w:firstLineChars="200"/>
        <w:rPr>
          <w:rFonts w:ascii="Times New Roman" w:hAnsi="Times New Roman"/>
          <w:szCs w:val="24"/>
        </w:rPr>
      </w:pPr>
      <w:r>
        <w:rPr>
          <w:rFonts w:hint="eastAsia" w:ascii="Times New Roman" w:hAnsi="Times New Roman"/>
          <w:szCs w:val="24"/>
        </w:rPr>
        <w:t>7.5.3 最终成果应生成标准化的数字产品（如DOM、DEM、DSM、点云、专题图、三维模型）和监测报告，所有数据应包含完整的元数据信息，并纳入统一数据中心管理。</w:t>
      </w:r>
    </w:p>
    <w:p w14:paraId="2305A157">
      <w:pPr>
        <w:keepNext/>
        <w:keepLines/>
        <w:pageBreakBefore w:val="0"/>
        <w:widowControl w:val="0"/>
        <w:numPr>
          <w:ilvl w:val="0"/>
          <w:numId w:val="32"/>
        </w:numPr>
        <w:kinsoku/>
        <w:wordWrap/>
        <w:overflowPunct/>
        <w:topLinePunct w:val="0"/>
        <w:autoSpaceDE/>
        <w:autoSpaceDN/>
        <w:bidi w:val="0"/>
        <w:adjustRightInd/>
        <w:snapToGrid/>
        <w:spacing w:before="313" w:beforeLines="100" w:after="313" w:afterLines="100" w:line="240" w:lineRule="auto"/>
        <w:ind w:left="363" w:leftChars="0" w:hanging="363" w:firstLineChars="0"/>
        <w:textAlignment w:val="auto"/>
        <w:outlineLvl w:val="0"/>
        <w:rPr>
          <w:rFonts w:hint="eastAsia" w:ascii="Times New Roman" w:hAnsi="Times New Roman" w:eastAsia="黑体"/>
          <w:b/>
          <w:bCs w:val="0"/>
          <w:kern w:val="44"/>
          <w:lang w:val="en-US" w:eastAsia="zh-CN"/>
        </w:rPr>
      </w:pPr>
      <w:bookmarkStart w:id="71" w:name="_Toc13173"/>
      <w:r>
        <w:rPr>
          <w:rFonts w:hint="eastAsia" w:ascii="Times New Roman" w:hAnsi="Times New Roman" w:eastAsia="黑体"/>
          <w:b/>
          <w:bCs w:val="0"/>
          <w:kern w:val="44"/>
          <w:lang w:val="en-US" w:eastAsia="zh-CN"/>
        </w:rPr>
        <w:t>地基监测</w:t>
      </w:r>
      <w:bookmarkEnd w:id="71"/>
    </w:p>
    <w:p w14:paraId="4CA59D69">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kern w:val="21"/>
        </w:rPr>
      </w:pPr>
      <w:bookmarkStart w:id="72" w:name="_Toc12258"/>
      <w:bookmarkStart w:id="73" w:name="_Toc14891"/>
      <w:r>
        <w:rPr>
          <w:rFonts w:hint="eastAsia" w:ascii="Times New Roman" w:hAnsi="Times New Roman" w:eastAsia="黑体" w:cs="黑体"/>
          <w:b/>
          <w:bCs/>
          <w:kern w:val="21"/>
        </w:rPr>
        <w:t>8.1</w:t>
      </w:r>
      <w:r>
        <w:rPr>
          <w:rFonts w:hint="eastAsia" w:ascii="Times New Roman" w:hAnsi="Times New Roman" w:eastAsia="黑体" w:cs="黑体"/>
          <w:b/>
          <w:bCs/>
          <w:kern w:val="21"/>
          <w:lang w:val="en-US" w:eastAsia="zh-CN"/>
        </w:rPr>
        <w:t xml:space="preserve">  </w:t>
      </w:r>
      <w:r>
        <w:rPr>
          <w:rFonts w:hint="eastAsia" w:ascii="Times New Roman" w:hAnsi="Times New Roman" w:eastAsia="黑体" w:cs="黑体"/>
          <w:b w:val="0"/>
          <w:bCs w:val="0"/>
          <w:kern w:val="21"/>
        </w:rPr>
        <w:t>一般规定</w:t>
      </w:r>
      <w:bookmarkEnd w:id="72"/>
      <w:bookmarkEnd w:id="73"/>
    </w:p>
    <w:p w14:paraId="00E4DB82">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8.1.1 地基监测应作为水网天空地一体化监测体系中最基础、最直接、精度最高的数据来源，为天基和空基监测提供校准基准和验证数据。</w:t>
      </w:r>
    </w:p>
    <w:p w14:paraId="7C1F0C45">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8.1.2 地基监测应构成覆盖水网关键节点和敏感区域的立体化感知网络，包括固定站、移动站和巡测点，实现点、线、面相结合的监测能力。</w:t>
      </w:r>
    </w:p>
    <w:p w14:paraId="29A18F28">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rPr>
        <w:t>8.1.3 监测设备应具备高可靠性、高稳定性、高精度和长寿命，能够适应野外恶劣环境（如高温、高湿、洪水、冰冻、生物附着等）的长期连续运行要求</w:t>
      </w:r>
      <w:r>
        <w:rPr>
          <w:rFonts w:hint="eastAsia" w:ascii="Times New Roman" w:hAnsi="Times New Roman"/>
          <w:szCs w:val="24"/>
          <w:lang w:eastAsia="zh-CN"/>
        </w:rPr>
        <w:t>。</w:t>
      </w:r>
    </w:p>
    <w:p w14:paraId="26F49749">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kern w:val="21"/>
        </w:rPr>
      </w:pPr>
      <w:bookmarkStart w:id="74" w:name="_Toc1421"/>
      <w:r>
        <w:rPr>
          <w:rFonts w:hint="eastAsia" w:ascii="Times New Roman" w:hAnsi="Times New Roman" w:eastAsia="黑体" w:cs="黑体"/>
          <w:b/>
          <w:bCs/>
          <w:kern w:val="21"/>
        </w:rPr>
        <w:t xml:space="preserve">8.2 </w:t>
      </w:r>
      <w:r>
        <w:rPr>
          <w:rFonts w:hint="eastAsia" w:ascii="Times New Roman" w:hAnsi="Times New Roman" w:eastAsia="黑体" w:cs="黑体"/>
          <w:b/>
          <w:bCs/>
          <w:kern w:val="21"/>
          <w:lang w:val="en-US" w:eastAsia="zh-CN"/>
        </w:rPr>
        <w:t xml:space="preserve"> </w:t>
      </w:r>
      <w:r>
        <w:rPr>
          <w:rFonts w:hint="eastAsia" w:ascii="Times New Roman" w:hAnsi="Times New Roman" w:eastAsia="黑体" w:cs="黑体"/>
          <w:b w:val="0"/>
          <w:bCs w:val="0"/>
          <w:kern w:val="21"/>
        </w:rPr>
        <w:t>监测站网布设</w:t>
      </w:r>
      <w:bookmarkEnd w:id="74"/>
    </w:p>
    <w:p w14:paraId="7425562A">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rPr>
        <w:t>8.2.1 应遵循“统筹规划、突出重点、分级分类、经济高效”的原则，根据水网功能分区、水文学特征、污染负荷分布、环境敏感目标分布和管理需求进行科学布设</w:t>
      </w:r>
      <w:r>
        <w:rPr>
          <w:rFonts w:hint="eastAsia" w:ascii="Times New Roman" w:hAnsi="Times New Roman"/>
          <w:szCs w:val="24"/>
          <w:lang w:eastAsia="zh-CN"/>
        </w:rPr>
        <w:t>。</w:t>
      </w:r>
    </w:p>
    <w:p w14:paraId="7BB640AD">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8.2.2 监测站网</w:t>
      </w:r>
    </w:p>
    <w:p w14:paraId="14430223">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rPr>
        <w:t>监测站网</w:t>
      </w:r>
      <w:r>
        <w:rPr>
          <w:rFonts w:hint="eastAsia" w:ascii="Times New Roman" w:hAnsi="Times New Roman"/>
          <w:szCs w:val="24"/>
          <w:lang w:eastAsia="zh-CN"/>
        </w:rPr>
        <w:t>主要由以下几种</w:t>
      </w:r>
      <w:r>
        <w:rPr>
          <w:rFonts w:hint="eastAsia" w:ascii="Times New Roman" w:hAnsi="Times New Roman"/>
          <w:szCs w:val="24"/>
        </w:rPr>
        <w:t>构成</w:t>
      </w:r>
      <w:r>
        <w:rPr>
          <w:rFonts w:hint="eastAsia" w:ascii="Times New Roman" w:hAnsi="Times New Roman"/>
          <w:szCs w:val="24"/>
          <w:lang w:eastAsia="zh-CN"/>
        </w:rPr>
        <w:t>：</w:t>
      </w:r>
    </w:p>
    <w:p w14:paraId="269AAD4A">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rPr>
        <w:t>a) 固定自动监测站（点）：用于对关键断面和位置的水文、水质等要素进行连续、自动、实时监测</w:t>
      </w:r>
      <w:r>
        <w:rPr>
          <w:rFonts w:hint="eastAsia" w:ascii="Times New Roman" w:hAnsi="Times New Roman"/>
          <w:szCs w:val="24"/>
          <w:lang w:eastAsia="zh-CN"/>
        </w:rPr>
        <w:t>，</w:t>
      </w:r>
      <w:r>
        <w:rPr>
          <w:rFonts w:hint="eastAsia" w:ascii="Times New Roman" w:hAnsi="Times New Roman"/>
          <w:szCs w:val="24"/>
        </w:rPr>
        <w:t>主要包括国家/地方基本站、重要饮用水水源地站、重要省界/市界断面站、重要水利工程出入口站等</w:t>
      </w:r>
      <w:r>
        <w:rPr>
          <w:rFonts w:hint="eastAsia" w:ascii="Times New Roman" w:hAnsi="Times New Roman"/>
          <w:szCs w:val="24"/>
          <w:lang w:eastAsia="zh-CN"/>
        </w:rPr>
        <w:t>；</w:t>
      </w:r>
    </w:p>
    <w:p w14:paraId="480D7A7A">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rPr>
        <w:t>b) 移动自动监测站/设备：包括车载、船载式移动监测平台，用于应急监测、巡测、补充性监测和固定站数据的比对验证</w:t>
      </w:r>
      <w:r>
        <w:rPr>
          <w:rFonts w:hint="eastAsia" w:ascii="Times New Roman" w:hAnsi="Times New Roman"/>
          <w:szCs w:val="24"/>
          <w:lang w:eastAsia="zh-CN"/>
        </w:rPr>
        <w:t>；</w:t>
      </w:r>
    </w:p>
    <w:p w14:paraId="4E19E813">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c) 人工巡测点：作为自动监测的有效补充，用于定期采集样品进行实验室分析，或使用便携式设备进行现场测量，以校核自动监测设备。</w:t>
      </w:r>
    </w:p>
    <w:p w14:paraId="6B140F8B">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kern w:val="21"/>
        </w:rPr>
      </w:pPr>
      <w:bookmarkStart w:id="75" w:name="_Toc9353"/>
      <w:r>
        <w:rPr>
          <w:rFonts w:hint="eastAsia" w:ascii="Times New Roman" w:hAnsi="Times New Roman" w:eastAsia="黑体" w:cs="黑体"/>
          <w:b/>
          <w:bCs/>
          <w:kern w:val="21"/>
        </w:rPr>
        <w:t xml:space="preserve">8.3 </w:t>
      </w:r>
      <w:r>
        <w:rPr>
          <w:rFonts w:hint="eastAsia" w:ascii="Times New Roman" w:hAnsi="Times New Roman" w:eastAsia="黑体" w:cs="黑体"/>
          <w:b/>
          <w:bCs/>
          <w:kern w:val="21"/>
          <w:lang w:val="en-US" w:eastAsia="zh-CN"/>
        </w:rPr>
        <w:t xml:space="preserve"> </w:t>
      </w:r>
      <w:r>
        <w:rPr>
          <w:rFonts w:hint="eastAsia" w:ascii="Times New Roman" w:hAnsi="Times New Roman" w:eastAsia="黑体" w:cs="黑体"/>
          <w:b w:val="0"/>
          <w:bCs w:val="0"/>
          <w:kern w:val="21"/>
        </w:rPr>
        <w:t>监测设备与安装</w:t>
      </w:r>
      <w:bookmarkEnd w:id="75"/>
    </w:p>
    <w:p w14:paraId="12B59828">
      <w:pPr>
        <w:adjustRightInd/>
        <w:spacing w:line="360" w:lineRule="auto"/>
        <w:ind w:firstLine="420" w:firstLineChars="200"/>
        <w:rPr>
          <w:rFonts w:hint="eastAsia" w:ascii="Times New Roman" w:hAnsi="Times New Roman" w:eastAsia="宋体"/>
          <w:szCs w:val="24"/>
          <w:lang w:val="en-US" w:eastAsia="zh-CN"/>
        </w:rPr>
      </w:pPr>
      <w:r>
        <w:rPr>
          <w:rFonts w:hint="eastAsia" w:ascii="Times New Roman" w:hAnsi="Times New Roman"/>
          <w:szCs w:val="24"/>
        </w:rPr>
        <w:t xml:space="preserve">8.3.1 </w:t>
      </w:r>
      <w:r>
        <w:rPr>
          <w:rFonts w:hint="eastAsia" w:ascii="Times New Roman" w:hAnsi="Times New Roman"/>
          <w:szCs w:val="24"/>
          <w:lang w:eastAsia="zh-CN"/>
        </w:rPr>
        <w:t>监测</w:t>
      </w:r>
      <w:r>
        <w:rPr>
          <w:rFonts w:hint="eastAsia" w:ascii="Times New Roman" w:hAnsi="Times New Roman"/>
          <w:szCs w:val="24"/>
        </w:rPr>
        <w:t>设备</w:t>
      </w:r>
      <w:r>
        <w:rPr>
          <w:rFonts w:hint="eastAsia" w:ascii="Times New Roman" w:hAnsi="Times New Roman"/>
          <w:szCs w:val="24"/>
          <w:lang w:eastAsia="zh-CN"/>
        </w:rPr>
        <w:t>选型</w:t>
      </w:r>
    </w:p>
    <w:p w14:paraId="78438FD5">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lang w:val="en-US" w:eastAsia="zh-CN"/>
        </w:rPr>
        <w:t>8.3.1.1</w:t>
      </w:r>
      <w:r>
        <w:rPr>
          <w:rFonts w:hint="eastAsia" w:ascii="Times New Roman" w:hAnsi="Times New Roman"/>
          <w:szCs w:val="24"/>
        </w:rPr>
        <w:t xml:space="preserve"> 设备性能应符合GB/T 1</w:t>
      </w:r>
      <w:r>
        <w:rPr>
          <w:rFonts w:hint="eastAsia" w:ascii="Times New Roman" w:hAnsi="Times New Roman"/>
          <w:szCs w:val="24"/>
          <w:lang w:val="en-US" w:eastAsia="zh-CN"/>
        </w:rPr>
        <w:t>5966</w:t>
      </w:r>
      <w:r>
        <w:rPr>
          <w:rFonts w:hint="eastAsia" w:ascii="Times New Roman" w:hAnsi="Times New Roman"/>
          <w:szCs w:val="24"/>
        </w:rPr>
        <w:t>的</w:t>
      </w:r>
      <w:r>
        <w:rPr>
          <w:rFonts w:hint="eastAsia" w:ascii="Times New Roman" w:hAnsi="Times New Roman"/>
          <w:szCs w:val="24"/>
          <w:lang w:eastAsia="zh-CN"/>
        </w:rPr>
        <w:t>规定</w:t>
      </w:r>
      <w:r>
        <w:rPr>
          <w:rFonts w:hint="eastAsia" w:ascii="Times New Roman" w:hAnsi="Times New Roman"/>
          <w:szCs w:val="24"/>
        </w:rPr>
        <w:t>，并优先选择通过计量认证（CMC）或具有权威机构检测报告的产品</w:t>
      </w:r>
      <w:r>
        <w:rPr>
          <w:rFonts w:hint="eastAsia" w:ascii="Times New Roman" w:hAnsi="Times New Roman"/>
          <w:szCs w:val="24"/>
          <w:lang w:eastAsia="zh-CN"/>
        </w:rPr>
        <w:t xml:space="preserve">；其中，地表水监测应按照HJ 915的相关规定执行，地下水监测应按照HJ </w:t>
      </w:r>
      <w:r>
        <w:rPr>
          <w:rFonts w:hint="eastAsia" w:ascii="Times New Roman" w:hAnsi="Times New Roman"/>
          <w:szCs w:val="24"/>
          <w:lang w:val="en-US" w:eastAsia="zh-CN"/>
        </w:rPr>
        <w:t>164的相关规定</w:t>
      </w:r>
      <w:r>
        <w:rPr>
          <w:rFonts w:hint="eastAsia" w:ascii="Times New Roman" w:hAnsi="Times New Roman"/>
          <w:szCs w:val="24"/>
          <w:lang w:eastAsia="zh-CN"/>
        </w:rPr>
        <w:t>；</w:t>
      </w:r>
    </w:p>
    <w:p w14:paraId="21EFC208">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lang w:val="en-US" w:eastAsia="zh-CN"/>
        </w:rPr>
        <w:t>8.3.1.2</w:t>
      </w:r>
      <w:r>
        <w:rPr>
          <w:rFonts w:hint="eastAsia" w:ascii="Times New Roman" w:hAnsi="Times New Roman"/>
          <w:szCs w:val="24"/>
        </w:rPr>
        <w:t xml:space="preserve"> 设备应具备良好的兼容性和扩展性，模拟量输出宜采用4-20mA标准电流信号，数字输出宜支持Modbus、SL</w:t>
      </w:r>
      <w:r>
        <w:rPr>
          <w:rFonts w:hint="eastAsia" w:ascii="Times New Roman" w:hAnsi="Times New Roman"/>
          <w:szCs w:val="24"/>
          <w:lang w:val="en-US" w:eastAsia="zh-CN"/>
        </w:rPr>
        <w:t>/T</w:t>
      </w:r>
      <w:r>
        <w:rPr>
          <w:rFonts w:hint="eastAsia" w:ascii="Times New Roman" w:hAnsi="Times New Roman"/>
          <w:szCs w:val="24"/>
        </w:rPr>
        <w:t xml:space="preserve"> 651等标准协议，便于接入现有系统和未来扩展</w:t>
      </w:r>
      <w:r>
        <w:rPr>
          <w:rFonts w:hint="eastAsia" w:ascii="Times New Roman" w:hAnsi="Times New Roman"/>
          <w:szCs w:val="24"/>
          <w:lang w:eastAsia="zh-CN"/>
        </w:rPr>
        <w:t>。</w:t>
      </w:r>
    </w:p>
    <w:p w14:paraId="1C03A980">
      <w:pPr>
        <w:adjustRightInd/>
        <w:spacing w:line="360" w:lineRule="auto"/>
        <w:ind w:firstLine="420" w:firstLineChars="200"/>
        <w:rPr>
          <w:rFonts w:hint="eastAsia" w:ascii="Times New Roman" w:hAnsi="Times New Roman"/>
          <w:szCs w:val="24"/>
        </w:rPr>
      </w:pPr>
      <w:r>
        <w:rPr>
          <w:rFonts w:hint="eastAsia" w:ascii="Times New Roman" w:hAnsi="Times New Roman"/>
          <w:szCs w:val="24"/>
          <w:lang w:val="en-US" w:eastAsia="zh-CN"/>
        </w:rPr>
        <w:t>8.3.1.3</w:t>
      </w:r>
      <w:r>
        <w:rPr>
          <w:rFonts w:hint="eastAsia" w:ascii="Times New Roman" w:hAnsi="Times New Roman"/>
          <w:szCs w:val="24"/>
        </w:rPr>
        <w:t xml:space="preserve"> 鼓励采用测量原理先进、智能化程度高、具备自清洗、自诊断、自校准功能的传感器和设备。</w:t>
      </w:r>
    </w:p>
    <w:p w14:paraId="4BDDE740">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8.3.2 主要监测设备选型应符合表4的</w:t>
      </w:r>
      <w:r>
        <w:rPr>
          <w:rFonts w:hint="eastAsia" w:ascii="Times New Roman" w:hAnsi="Times New Roman"/>
          <w:szCs w:val="24"/>
          <w:lang w:eastAsia="zh-CN"/>
        </w:rPr>
        <w:t>规定</w:t>
      </w:r>
      <w:r>
        <w:rPr>
          <w:rFonts w:hint="eastAsia" w:ascii="Times New Roman" w:hAnsi="Times New Roman"/>
          <w:szCs w:val="24"/>
        </w:rPr>
        <w:t>。</w:t>
      </w:r>
    </w:p>
    <w:p w14:paraId="401CE0A2">
      <w:pPr>
        <w:adjustRightInd/>
        <w:spacing w:line="360" w:lineRule="auto"/>
        <w:jc w:val="center"/>
        <w:rPr>
          <w:rFonts w:hint="eastAsia" w:ascii="Times New Roman" w:hAnsi="Times New Roman"/>
          <w:szCs w:val="24"/>
        </w:rPr>
      </w:pPr>
      <w:r>
        <w:rPr>
          <w:rFonts w:hint="eastAsia" w:ascii="Times New Roman" w:hAnsi="Times New Roman"/>
          <w:szCs w:val="24"/>
        </w:rPr>
        <w:t>表4 地基监测主要设备选型要求</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287"/>
        <w:gridCol w:w="1718"/>
        <w:gridCol w:w="2174"/>
        <w:gridCol w:w="4218"/>
      </w:tblGrid>
      <w:tr w14:paraId="52DB9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jc w:val="center"/>
        </w:trPr>
        <w:tc>
          <w:tcPr>
            <w:tcW w:w="1287" w:type="dxa"/>
            <w:shd w:val="clear" w:color="auto" w:fill="auto"/>
            <w:vAlign w:val="center"/>
          </w:tcPr>
          <w:p w14:paraId="063D864E">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监测类别</w:t>
            </w:r>
          </w:p>
        </w:tc>
        <w:tc>
          <w:tcPr>
            <w:tcW w:w="1718" w:type="dxa"/>
            <w:shd w:val="clear" w:color="auto" w:fill="auto"/>
            <w:vAlign w:val="center"/>
          </w:tcPr>
          <w:p w14:paraId="68BBB902">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设备类型</w:t>
            </w:r>
          </w:p>
        </w:tc>
        <w:tc>
          <w:tcPr>
            <w:tcW w:w="2174" w:type="dxa"/>
            <w:shd w:val="clear" w:color="auto" w:fill="auto"/>
            <w:vAlign w:val="center"/>
          </w:tcPr>
          <w:p w14:paraId="61F15BC1">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主要监测指标</w:t>
            </w:r>
          </w:p>
        </w:tc>
        <w:tc>
          <w:tcPr>
            <w:tcW w:w="4218" w:type="dxa"/>
            <w:shd w:val="clear" w:color="auto" w:fill="auto"/>
            <w:vAlign w:val="center"/>
          </w:tcPr>
          <w:p w14:paraId="4725146B">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技术要求与适用性</w:t>
            </w:r>
          </w:p>
        </w:tc>
      </w:tr>
      <w:tr w14:paraId="6FF1A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87" w:type="dxa"/>
            <w:vMerge w:val="restart"/>
            <w:shd w:val="clear" w:color="auto" w:fill="auto"/>
            <w:vAlign w:val="center"/>
          </w:tcPr>
          <w:p w14:paraId="4936A9AB">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水文水资源</w:t>
            </w:r>
          </w:p>
        </w:tc>
        <w:tc>
          <w:tcPr>
            <w:tcW w:w="1718" w:type="dxa"/>
            <w:shd w:val="clear" w:color="auto" w:fill="auto"/>
            <w:vAlign w:val="center"/>
          </w:tcPr>
          <w:p w14:paraId="6EF6F623">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水位计/雨量计</w:t>
            </w:r>
          </w:p>
        </w:tc>
        <w:tc>
          <w:tcPr>
            <w:tcW w:w="2174" w:type="dxa"/>
            <w:shd w:val="clear" w:color="auto" w:fill="auto"/>
            <w:vAlign w:val="center"/>
          </w:tcPr>
          <w:p w14:paraId="508F876B">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水位、降水量</w:t>
            </w:r>
          </w:p>
        </w:tc>
        <w:tc>
          <w:tcPr>
            <w:tcW w:w="4218" w:type="dxa"/>
            <w:shd w:val="clear" w:color="auto" w:fill="auto"/>
            <w:vAlign w:val="center"/>
          </w:tcPr>
          <w:p w14:paraId="16B710F3">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应符合 GB/T 50138 和 GB/T 21978 要求，输出标准信号</w:t>
            </w:r>
          </w:p>
        </w:tc>
      </w:tr>
      <w:tr w14:paraId="42B44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87" w:type="dxa"/>
            <w:vMerge w:val="continue"/>
            <w:shd w:val="clear" w:color="auto" w:fill="auto"/>
            <w:vAlign w:val="center"/>
          </w:tcPr>
          <w:p w14:paraId="463AD216">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i w:val="0"/>
                <w:iCs w:val="0"/>
                <w:color w:val="000000"/>
                <w:sz w:val="21"/>
                <w:szCs w:val="21"/>
                <w:u w:val="none"/>
              </w:rPr>
            </w:pPr>
          </w:p>
        </w:tc>
        <w:tc>
          <w:tcPr>
            <w:tcW w:w="1718" w:type="dxa"/>
            <w:shd w:val="clear" w:color="auto" w:fill="auto"/>
            <w:vAlign w:val="center"/>
          </w:tcPr>
          <w:p w14:paraId="54A705EE">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ADCP/流量计</w:t>
            </w:r>
          </w:p>
        </w:tc>
        <w:tc>
          <w:tcPr>
            <w:tcW w:w="2174" w:type="dxa"/>
            <w:shd w:val="clear" w:color="auto" w:fill="auto"/>
            <w:vAlign w:val="center"/>
          </w:tcPr>
          <w:p w14:paraId="0B53AF49">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流速、流量</w:t>
            </w:r>
          </w:p>
        </w:tc>
        <w:tc>
          <w:tcPr>
            <w:tcW w:w="4218" w:type="dxa"/>
            <w:shd w:val="clear" w:color="auto" w:fill="auto"/>
            <w:vAlign w:val="center"/>
          </w:tcPr>
          <w:p w14:paraId="456BC266">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测量范围与精度应适配断面流速，应符合 SL/T 427</w:t>
            </w:r>
            <w:r>
              <w:rPr>
                <w:rFonts w:hint="eastAsia" w:ascii="Times New Roman" w:hAnsi="Times New Roman" w:cs="Times New Roman"/>
                <w:i w:val="0"/>
                <w:iCs w:val="0"/>
                <w:color w:val="000000"/>
                <w:kern w:val="0"/>
                <w:sz w:val="21"/>
                <w:szCs w:val="21"/>
                <w:u w:val="none"/>
                <w:lang w:val="en-US" w:eastAsia="zh-CN" w:bidi="ar"/>
              </w:rPr>
              <w:t>的规定</w:t>
            </w:r>
          </w:p>
        </w:tc>
      </w:tr>
      <w:tr w14:paraId="72AA8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87" w:type="dxa"/>
            <w:vMerge w:val="restart"/>
            <w:shd w:val="clear" w:color="auto" w:fill="auto"/>
            <w:vAlign w:val="center"/>
          </w:tcPr>
          <w:p w14:paraId="24B48742">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水质水环境</w:t>
            </w:r>
          </w:p>
        </w:tc>
        <w:tc>
          <w:tcPr>
            <w:tcW w:w="1718" w:type="dxa"/>
            <w:shd w:val="clear" w:color="auto" w:fill="auto"/>
            <w:vAlign w:val="center"/>
          </w:tcPr>
          <w:p w14:paraId="63029A83">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多参数水质仪</w:t>
            </w:r>
          </w:p>
        </w:tc>
        <w:tc>
          <w:tcPr>
            <w:tcW w:w="2174" w:type="dxa"/>
            <w:shd w:val="clear" w:color="auto" w:fill="auto"/>
            <w:vAlign w:val="center"/>
          </w:tcPr>
          <w:p w14:paraId="4312C831">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pH、DO、浊度、电导率等</w:t>
            </w:r>
          </w:p>
        </w:tc>
        <w:tc>
          <w:tcPr>
            <w:tcW w:w="4218" w:type="dxa"/>
            <w:shd w:val="clear" w:color="auto" w:fill="auto"/>
            <w:vAlign w:val="center"/>
          </w:tcPr>
          <w:p w14:paraId="7E22492B">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应具备自动清洗功能，输出协议宜支持 Modbus 或 SL</w:t>
            </w:r>
            <w:r>
              <w:rPr>
                <w:rFonts w:hint="eastAsia" w:ascii="Times New Roman" w:hAnsi="Times New Roman" w:cs="Times New Roman"/>
                <w:i w:val="0"/>
                <w:iCs w:val="0"/>
                <w:color w:val="000000"/>
                <w:kern w:val="0"/>
                <w:sz w:val="21"/>
                <w:szCs w:val="21"/>
                <w:u w:val="none"/>
                <w:lang w:val="en-US" w:eastAsia="zh-CN" w:bidi="ar"/>
              </w:rPr>
              <w:t>/T</w:t>
            </w:r>
            <w:r>
              <w:rPr>
                <w:rFonts w:hint="default" w:ascii="Times New Roman" w:hAnsi="Times New Roman" w:eastAsia="宋体" w:cs="Times New Roman"/>
                <w:i w:val="0"/>
                <w:iCs w:val="0"/>
                <w:color w:val="000000"/>
                <w:kern w:val="0"/>
                <w:sz w:val="21"/>
                <w:szCs w:val="21"/>
                <w:u w:val="none"/>
                <w:lang w:val="en-US" w:eastAsia="zh-CN" w:bidi="ar"/>
              </w:rPr>
              <w:t xml:space="preserve"> 651</w:t>
            </w:r>
          </w:p>
        </w:tc>
      </w:tr>
      <w:tr w14:paraId="1AFA7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87" w:type="dxa"/>
            <w:vMerge w:val="continue"/>
            <w:shd w:val="clear" w:color="auto" w:fill="auto"/>
            <w:vAlign w:val="center"/>
          </w:tcPr>
          <w:p w14:paraId="368FAE5E">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i w:val="0"/>
                <w:iCs w:val="0"/>
                <w:color w:val="000000"/>
                <w:sz w:val="21"/>
                <w:szCs w:val="21"/>
                <w:u w:val="none"/>
              </w:rPr>
            </w:pPr>
          </w:p>
        </w:tc>
        <w:tc>
          <w:tcPr>
            <w:tcW w:w="1718" w:type="dxa"/>
            <w:shd w:val="clear" w:color="auto" w:fill="auto"/>
            <w:vAlign w:val="center"/>
          </w:tcPr>
          <w:p w14:paraId="042B7C60">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在线化学分析仪</w:t>
            </w:r>
          </w:p>
        </w:tc>
        <w:tc>
          <w:tcPr>
            <w:tcW w:w="2174" w:type="dxa"/>
            <w:shd w:val="clear" w:color="auto" w:fill="auto"/>
            <w:vAlign w:val="center"/>
          </w:tcPr>
          <w:p w14:paraId="5B4DE32D">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CODMn、NH3-N、TP、TN</w:t>
            </w:r>
          </w:p>
        </w:tc>
        <w:tc>
          <w:tcPr>
            <w:tcW w:w="4218" w:type="dxa"/>
            <w:shd w:val="clear" w:color="auto" w:fill="auto"/>
            <w:vAlign w:val="center"/>
          </w:tcPr>
          <w:p w14:paraId="5D2F632B">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应具备自动采样与预处理功能，测量周期≤15min</w:t>
            </w:r>
          </w:p>
        </w:tc>
      </w:tr>
      <w:tr w14:paraId="5F9C6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87" w:type="dxa"/>
            <w:vMerge w:val="continue"/>
            <w:shd w:val="clear" w:color="auto" w:fill="auto"/>
            <w:vAlign w:val="center"/>
          </w:tcPr>
          <w:p w14:paraId="4D85C7DA">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i w:val="0"/>
                <w:iCs w:val="0"/>
                <w:color w:val="000000"/>
                <w:sz w:val="21"/>
                <w:szCs w:val="21"/>
                <w:u w:val="none"/>
              </w:rPr>
            </w:pPr>
          </w:p>
        </w:tc>
        <w:tc>
          <w:tcPr>
            <w:tcW w:w="1718" w:type="dxa"/>
            <w:shd w:val="clear" w:color="auto" w:fill="auto"/>
            <w:vAlign w:val="center"/>
          </w:tcPr>
          <w:p w14:paraId="17BCCE01">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采样器</w:t>
            </w:r>
          </w:p>
        </w:tc>
        <w:tc>
          <w:tcPr>
            <w:tcW w:w="2174" w:type="dxa"/>
            <w:shd w:val="clear" w:color="auto" w:fill="auto"/>
            <w:vAlign w:val="center"/>
          </w:tcPr>
          <w:p w14:paraId="5D4801E8">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全指标分析、特征污染物</w:t>
            </w:r>
          </w:p>
        </w:tc>
        <w:tc>
          <w:tcPr>
            <w:tcW w:w="4218" w:type="dxa"/>
            <w:shd w:val="clear" w:color="auto" w:fill="auto"/>
            <w:vAlign w:val="center"/>
          </w:tcPr>
          <w:p w14:paraId="08A29653">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采样方法应符合 HJ 495</w:t>
            </w:r>
          </w:p>
        </w:tc>
      </w:tr>
      <w:tr w14:paraId="04D68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87" w:type="dxa"/>
            <w:vMerge w:val="restart"/>
            <w:shd w:val="clear" w:color="auto" w:fill="auto"/>
            <w:vAlign w:val="center"/>
          </w:tcPr>
          <w:p w14:paraId="23EFB29C">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水生态</w:t>
            </w:r>
          </w:p>
        </w:tc>
        <w:tc>
          <w:tcPr>
            <w:tcW w:w="1718" w:type="dxa"/>
            <w:shd w:val="clear" w:color="auto" w:fill="auto"/>
            <w:vAlign w:val="center"/>
          </w:tcPr>
          <w:p w14:paraId="500D1516">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藻类/叶绿素传感器</w:t>
            </w:r>
          </w:p>
        </w:tc>
        <w:tc>
          <w:tcPr>
            <w:tcW w:w="2174" w:type="dxa"/>
            <w:shd w:val="clear" w:color="auto" w:fill="auto"/>
            <w:vAlign w:val="center"/>
          </w:tcPr>
          <w:p w14:paraId="4D9E274F">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叶绿素a、蓝绿藻</w:t>
            </w:r>
          </w:p>
        </w:tc>
        <w:tc>
          <w:tcPr>
            <w:tcW w:w="4218" w:type="dxa"/>
            <w:shd w:val="clear" w:color="auto" w:fill="auto"/>
            <w:vAlign w:val="center"/>
          </w:tcPr>
          <w:p w14:paraId="37EB01A1">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基于荧光法，应具备防生物附着功能</w:t>
            </w:r>
          </w:p>
        </w:tc>
      </w:tr>
      <w:tr w14:paraId="5DD67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87" w:type="dxa"/>
            <w:vMerge w:val="continue"/>
            <w:shd w:val="clear" w:color="auto" w:fill="auto"/>
            <w:vAlign w:val="center"/>
          </w:tcPr>
          <w:p w14:paraId="1F7E2382">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i w:val="0"/>
                <w:iCs w:val="0"/>
                <w:color w:val="000000"/>
                <w:sz w:val="21"/>
                <w:szCs w:val="21"/>
                <w:u w:val="none"/>
              </w:rPr>
            </w:pPr>
          </w:p>
        </w:tc>
        <w:tc>
          <w:tcPr>
            <w:tcW w:w="1718" w:type="dxa"/>
            <w:shd w:val="clear" w:color="auto" w:fill="auto"/>
            <w:vAlign w:val="center"/>
          </w:tcPr>
          <w:p w14:paraId="5ADE11E0">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eDNA采样器</w:t>
            </w:r>
          </w:p>
        </w:tc>
        <w:tc>
          <w:tcPr>
            <w:tcW w:w="2174" w:type="dxa"/>
            <w:shd w:val="clear" w:color="auto" w:fill="auto"/>
            <w:vAlign w:val="center"/>
          </w:tcPr>
          <w:p w14:paraId="7A27C3B0">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环境DNA</w:t>
            </w:r>
          </w:p>
        </w:tc>
        <w:tc>
          <w:tcPr>
            <w:tcW w:w="4218" w:type="dxa"/>
            <w:shd w:val="clear" w:color="auto" w:fill="auto"/>
            <w:vAlign w:val="center"/>
          </w:tcPr>
          <w:p w14:paraId="63C17E9B">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采集水样，送回实验室进行分子生物学分析</w:t>
            </w:r>
          </w:p>
        </w:tc>
      </w:tr>
      <w:tr w14:paraId="16A0B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87" w:type="dxa"/>
            <w:vMerge w:val="restart"/>
            <w:shd w:val="clear" w:color="auto" w:fill="auto"/>
            <w:vAlign w:val="center"/>
          </w:tcPr>
          <w:p w14:paraId="75AAE717">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工程安全</w:t>
            </w:r>
          </w:p>
        </w:tc>
        <w:tc>
          <w:tcPr>
            <w:tcW w:w="1718" w:type="dxa"/>
            <w:shd w:val="clear" w:color="auto" w:fill="auto"/>
            <w:vAlign w:val="center"/>
          </w:tcPr>
          <w:p w14:paraId="526181E7">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GNSS/测量机器人</w:t>
            </w:r>
          </w:p>
        </w:tc>
        <w:tc>
          <w:tcPr>
            <w:tcW w:w="2174" w:type="dxa"/>
            <w:shd w:val="clear" w:color="auto" w:fill="auto"/>
            <w:vAlign w:val="center"/>
          </w:tcPr>
          <w:p w14:paraId="4610CB7E">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表面位移</w:t>
            </w:r>
          </w:p>
        </w:tc>
        <w:tc>
          <w:tcPr>
            <w:tcW w:w="4218" w:type="dxa"/>
            <w:shd w:val="clear" w:color="auto" w:fill="auto"/>
            <w:vAlign w:val="center"/>
          </w:tcPr>
          <w:p w14:paraId="56D92911">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精度应达毫米级，满足变形监测规范要求</w:t>
            </w:r>
          </w:p>
        </w:tc>
      </w:tr>
      <w:tr w14:paraId="79F2F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87" w:type="dxa"/>
            <w:vMerge w:val="continue"/>
            <w:shd w:val="clear" w:color="auto" w:fill="auto"/>
            <w:vAlign w:val="center"/>
          </w:tcPr>
          <w:p w14:paraId="4C183ABA">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i w:val="0"/>
                <w:iCs w:val="0"/>
                <w:color w:val="000000"/>
                <w:sz w:val="21"/>
                <w:szCs w:val="21"/>
                <w:u w:val="none"/>
              </w:rPr>
            </w:pPr>
          </w:p>
        </w:tc>
        <w:tc>
          <w:tcPr>
            <w:tcW w:w="1718" w:type="dxa"/>
            <w:shd w:val="clear" w:color="auto" w:fill="auto"/>
            <w:vAlign w:val="center"/>
          </w:tcPr>
          <w:p w14:paraId="069455E1">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渗压计/量水堰计</w:t>
            </w:r>
          </w:p>
        </w:tc>
        <w:tc>
          <w:tcPr>
            <w:tcW w:w="2174" w:type="dxa"/>
            <w:shd w:val="clear" w:color="auto" w:fill="auto"/>
            <w:vAlign w:val="center"/>
          </w:tcPr>
          <w:p w14:paraId="27779421">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渗压、渗流量</w:t>
            </w:r>
          </w:p>
        </w:tc>
        <w:tc>
          <w:tcPr>
            <w:tcW w:w="4218" w:type="dxa"/>
            <w:shd w:val="clear" w:color="auto" w:fill="auto"/>
            <w:vAlign w:val="center"/>
          </w:tcPr>
          <w:p w14:paraId="3D77503D">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量程与精度应满足工程设计要求，长期稳定性好</w:t>
            </w:r>
          </w:p>
        </w:tc>
      </w:tr>
      <w:tr w14:paraId="34134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87" w:type="dxa"/>
            <w:shd w:val="clear" w:color="auto" w:fill="auto"/>
            <w:vAlign w:val="center"/>
          </w:tcPr>
          <w:p w14:paraId="32022929">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综合监控</w:t>
            </w:r>
          </w:p>
        </w:tc>
        <w:tc>
          <w:tcPr>
            <w:tcW w:w="1718" w:type="dxa"/>
            <w:shd w:val="clear" w:color="auto" w:fill="auto"/>
            <w:vAlign w:val="center"/>
          </w:tcPr>
          <w:p w14:paraId="3BAA4D91">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视频监控设备</w:t>
            </w:r>
          </w:p>
        </w:tc>
        <w:tc>
          <w:tcPr>
            <w:tcW w:w="2174" w:type="dxa"/>
            <w:shd w:val="clear" w:color="auto" w:fill="auto"/>
            <w:vAlign w:val="center"/>
          </w:tcPr>
          <w:p w14:paraId="0BE52CF5">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实时视频、图像</w:t>
            </w:r>
          </w:p>
        </w:tc>
        <w:tc>
          <w:tcPr>
            <w:tcW w:w="4218" w:type="dxa"/>
            <w:shd w:val="clear" w:color="auto" w:fill="auto"/>
            <w:vAlign w:val="center"/>
          </w:tcPr>
          <w:p w14:paraId="31971022">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应支持AI识别，防护等级不低于IP67，支持红外夜视</w:t>
            </w:r>
          </w:p>
        </w:tc>
      </w:tr>
    </w:tbl>
    <w:p w14:paraId="56395238">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 xml:space="preserve">8.3.3 </w:t>
      </w:r>
      <w:r>
        <w:rPr>
          <w:rFonts w:hint="eastAsia" w:ascii="Times New Roman" w:hAnsi="Times New Roman"/>
          <w:szCs w:val="24"/>
          <w:lang w:eastAsia="zh-CN"/>
        </w:rPr>
        <w:t>监测设备安装与施工</w:t>
      </w:r>
    </w:p>
    <w:p w14:paraId="4151B08E">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rPr>
        <w:t>8.3.3</w:t>
      </w:r>
      <w:r>
        <w:rPr>
          <w:rFonts w:hint="eastAsia" w:ascii="Times New Roman" w:hAnsi="Times New Roman"/>
          <w:szCs w:val="24"/>
          <w:lang w:val="en-US" w:eastAsia="zh-CN"/>
        </w:rPr>
        <w:t>.1</w:t>
      </w:r>
      <w:r>
        <w:rPr>
          <w:rFonts w:hint="eastAsia" w:ascii="Times New Roman" w:hAnsi="Times New Roman"/>
          <w:szCs w:val="24"/>
        </w:rPr>
        <w:t xml:space="preserve"> 设备安装应牢固稳定，测量位置应能真实代表所在断面的平均状况，避开湍流、死水区和污染源直接排放口的影响</w:t>
      </w:r>
      <w:r>
        <w:rPr>
          <w:rFonts w:hint="eastAsia" w:ascii="Times New Roman" w:hAnsi="Times New Roman"/>
          <w:szCs w:val="24"/>
          <w:lang w:eastAsia="zh-CN"/>
        </w:rPr>
        <w:t>，水位观测站的安装应符合GB/T 50138的相关规定。</w:t>
      </w:r>
    </w:p>
    <w:p w14:paraId="23A08AE5">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rPr>
        <w:t>8.3.3</w:t>
      </w:r>
      <w:r>
        <w:rPr>
          <w:rFonts w:hint="eastAsia" w:ascii="Times New Roman" w:hAnsi="Times New Roman"/>
          <w:szCs w:val="24"/>
          <w:lang w:val="en-US" w:eastAsia="zh-CN"/>
        </w:rPr>
        <w:t>.2</w:t>
      </w:r>
      <w:r>
        <w:rPr>
          <w:rFonts w:hint="eastAsia" w:ascii="Times New Roman" w:hAnsi="Times New Roman"/>
          <w:szCs w:val="24"/>
        </w:rPr>
        <w:t xml:space="preserve"> 取水式水质分析仪应合理设计取水管路、沉沙、除藻和清洗装置，确保水样代表性。浸入式传感器应设有防撞和防生物附着装置</w:t>
      </w:r>
      <w:r>
        <w:rPr>
          <w:rFonts w:hint="eastAsia" w:ascii="Times New Roman" w:hAnsi="Times New Roman"/>
          <w:szCs w:val="24"/>
          <w:lang w:eastAsia="zh-CN"/>
        </w:rPr>
        <w:t>。</w:t>
      </w:r>
    </w:p>
    <w:p w14:paraId="4AA43808">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8.3.3</w:t>
      </w:r>
      <w:r>
        <w:rPr>
          <w:rFonts w:hint="eastAsia" w:ascii="Times New Roman" w:hAnsi="Times New Roman"/>
          <w:szCs w:val="24"/>
          <w:lang w:val="en-US" w:eastAsia="zh-CN"/>
        </w:rPr>
        <w:t>.3</w:t>
      </w:r>
      <w:r>
        <w:rPr>
          <w:rFonts w:hint="eastAsia" w:ascii="Times New Roman" w:hAnsi="Times New Roman"/>
          <w:szCs w:val="24"/>
        </w:rPr>
        <w:t xml:space="preserve"> 站房（亭）应满足防盗、防雷、防洪、防潮、保温、通风和电力供应要求，并预留设备维护空间</w:t>
      </w:r>
      <w:r>
        <w:rPr>
          <w:rFonts w:hint="eastAsia" w:ascii="Times New Roman" w:hAnsi="Times New Roman"/>
          <w:szCs w:val="24"/>
          <w:lang w:eastAsia="zh-CN"/>
        </w:rPr>
        <w:t>，防雷设计应符合GB 50601和GB 50</w:t>
      </w:r>
      <w:r>
        <w:rPr>
          <w:rFonts w:hint="eastAsia" w:ascii="Times New Roman" w:hAnsi="Times New Roman"/>
          <w:szCs w:val="24"/>
          <w:lang w:val="en-US" w:eastAsia="zh-CN"/>
        </w:rPr>
        <w:t>057</w:t>
      </w:r>
      <w:r>
        <w:rPr>
          <w:rFonts w:hint="eastAsia" w:ascii="Times New Roman" w:hAnsi="Times New Roman"/>
          <w:szCs w:val="24"/>
          <w:lang w:eastAsia="zh-CN"/>
        </w:rPr>
        <w:t>的相关规定</w:t>
      </w:r>
      <w:r>
        <w:rPr>
          <w:rFonts w:hint="eastAsia" w:ascii="Times New Roman" w:hAnsi="Times New Roman"/>
          <w:szCs w:val="24"/>
        </w:rPr>
        <w:t>。</w:t>
      </w:r>
    </w:p>
    <w:p w14:paraId="6A5E7279">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kern w:val="21"/>
        </w:rPr>
      </w:pPr>
      <w:bookmarkStart w:id="76" w:name="_Toc9499"/>
      <w:r>
        <w:rPr>
          <w:rFonts w:hint="eastAsia" w:ascii="Times New Roman" w:hAnsi="Times New Roman" w:eastAsia="黑体" w:cs="黑体"/>
          <w:b/>
          <w:bCs/>
          <w:kern w:val="21"/>
        </w:rPr>
        <w:t xml:space="preserve">8.4 </w:t>
      </w:r>
      <w:r>
        <w:rPr>
          <w:rFonts w:hint="eastAsia" w:ascii="Times New Roman" w:hAnsi="Times New Roman" w:eastAsia="黑体" w:cs="黑体"/>
          <w:b/>
          <w:bCs/>
          <w:kern w:val="21"/>
          <w:lang w:val="en-US" w:eastAsia="zh-CN"/>
        </w:rPr>
        <w:t xml:space="preserve"> </w:t>
      </w:r>
      <w:r>
        <w:rPr>
          <w:rFonts w:hint="eastAsia" w:ascii="Times New Roman" w:hAnsi="Times New Roman" w:eastAsia="黑体" w:cs="黑体"/>
          <w:b w:val="0"/>
          <w:bCs w:val="0"/>
          <w:kern w:val="21"/>
        </w:rPr>
        <w:t>数据采集与传输</w:t>
      </w:r>
      <w:bookmarkEnd w:id="76"/>
    </w:p>
    <w:p w14:paraId="7BD816B1">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8.4.1 数据采集</w:t>
      </w:r>
    </w:p>
    <w:p w14:paraId="70F08BC5">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lang w:val="en-US" w:eastAsia="zh-CN"/>
        </w:rPr>
        <w:t>8.4.1.1</w:t>
      </w:r>
      <w:r>
        <w:rPr>
          <w:rFonts w:hint="eastAsia" w:ascii="Times New Roman" w:hAnsi="Times New Roman"/>
          <w:szCs w:val="24"/>
        </w:rPr>
        <w:t xml:space="preserve"> 采集频率应根据监测要素的特性和管理需求设定，支持定时采集、事件触发采集（如超标触发）和远程指令采集等多种模式</w:t>
      </w:r>
      <w:r>
        <w:rPr>
          <w:rFonts w:hint="eastAsia" w:ascii="Times New Roman" w:hAnsi="Times New Roman"/>
          <w:szCs w:val="24"/>
          <w:lang w:eastAsia="zh-CN"/>
        </w:rPr>
        <w:t>。</w:t>
      </w:r>
    </w:p>
    <w:p w14:paraId="76E66947">
      <w:pPr>
        <w:adjustRightInd/>
        <w:spacing w:line="360" w:lineRule="auto"/>
        <w:ind w:firstLine="420" w:firstLineChars="200"/>
        <w:rPr>
          <w:rFonts w:hint="eastAsia" w:ascii="Times New Roman" w:hAnsi="Times New Roman"/>
          <w:szCs w:val="24"/>
        </w:rPr>
      </w:pPr>
      <w:r>
        <w:rPr>
          <w:rFonts w:hint="eastAsia" w:ascii="Times New Roman" w:hAnsi="Times New Roman"/>
          <w:szCs w:val="24"/>
          <w:lang w:val="en-US" w:eastAsia="zh-CN"/>
        </w:rPr>
        <w:t>8.4.1.2</w:t>
      </w:r>
      <w:r>
        <w:rPr>
          <w:rFonts w:hint="eastAsia" w:ascii="Times New Roman" w:hAnsi="Times New Roman"/>
          <w:szCs w:val="24"/>
        </w:rPr>
        <w:t xml:space="preserve"> 应实时采集设备状态信息（如电压、温度、清洗动作状态等），实现设备运行的远程诊断。</w:t>
      </w:r>
    </w:p>
    <w:p w14:paraId="7B839F7F">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8.4.2 数据传输</w:t>
      </w:r>
    </w:p>
    <w:p w14:paraId="7EC02B9E">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rPr>
        <w:t>8.4.2</w:t>
      </w:r>
      <w:r>
        <w:rPr>
          <w:rFonts w:hint="eastAsia" w:ascii="Times New Roman" w:hAnsi="Times New Roman"/>
          <w:szCs w:val="24"/>
          <w:lang w:val="en-US" w:eastAsia="zh-CN"/>
        </w:rPr>
        <w:t>.1</w:t>
      </w:r>
      <w:r>
        <w:rPr>
          <w:rFonts w:hint="eastAsia" w:ascii="Times New Roman" w:hAnsi="Times New Roman"/>
          <w:szCs w:val="24"/>
        </w:rPr>
        <w:t xml:space="preserve"> 传输网络应遵循可靠、安全、稳定的原则，根据现场条件选择有线（光纤、网线）或无线（4G/5G、NB-IoT、LoRa、卫星通信）方式，重要站点宜采用双链路冗余传输</w:t>
      </w:r>
      <w:r>
        <w:rPr>
          <w:rFonts w:hint="eastAsia" w:ascii="Times New Roman" w:hAnsi="Times New Roman"/>
          <w:szCs w:val="24"/>
          <w:lang w:eastAsia="zh-CN"/>
        </w:rPr>
        <w:t>。</w:t>
      </w:r>
    </w:p>
    <w:p w14:paraId="1B452AFE">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rPr>
        <w:t>8.4.2</w:t>
      </w:r>
      <w:r>
        <w:rPr>
          <w:rFonts w:hint="eastAsia" w:ascii="Times New Roman" w:hAnsi="Times New Roman"/>
          <w:szCs w:val="24"/>
          <w:lang w:val="en-US" w:eastAsia="zh-CN"/>
        </w:rPr>
        <w:t>.2</w:t>
      </w:r>
      <w:r>
        <w:rPr>
          <w:rFonts w:hint="eastAsia" w:ascii="Times New Roman" w:hAnsi="Times New Roman"/>
          <w:szCs w:val="24"/>
        </w:rPr>
        <w:t xml:space="preserve"> 传输协议应支持SL/T 651或其他主流物联网协议（如MQTT、HTTP），确保数据格式的统一性和解析的无歧义性</w:t>
      </w:r>
      <w:r>
        <w:rPr>
          <w:rFonts w:hint="eastAsia" w:ascii="Times New Roman" w:hAnsi="Times New Roman"/>
          <w:szCs w:val="24"/>
          <w:lang w:eastAsia="zh-CN"/>
        </w:rPr>
        <w:t>。</w:t>
      </w:r>
    </w:p>
    <w:p w14:paraId="01E8F179">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8.4.2</w:t>
      </w:r>
      <w:r>
        <w:rPr>
          <w:rFonts w:hint="eastAsia" w:ascii="Times New Roman" w:hAnsi="Times New Roman"/>
          <w:szCs w:val="24"/>
          <w:lang w:val="en-US" w:eastAsia="zh-CN"/>
        </w:rPr>
        <w:t>.3</w:t>
      </w:r>
      <w:r>
        <w:rPr>
          <w:rFonts w:hint="eastAsia" w:ascii="Times New Roman" w:hAnsi="Times New Roman"/>
          <w:szCs w:val="24"/>
        </w:rPr>
        <w:t xml:space="preserve"> 数据传输应具备断线缓存和续传功能，保证数据的完整性和不丢失。</w:t>
      </w:r>
    </w:p>
    <w:p w14:paraId="6068D879">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kern w:val="21"/>
        </w:rPr>
      </w:pPr>
      <w:bookmarkStart w:id="77" w:name="_Toc10243"/>
      <w:r>
        <w:rPr>
          <w:rFonts w:hint="eastAsia" w:ascii="Times New Roman" w:hAnsi="Times New Roman" w:eastAsia="黑体" w:cs="黑体"/>
          <w:b/>
          <w:bCs/>
          <w:kern w:val="21"/>
        </w:rPr>
        <w:t xml:space="preserve">8.5 </w:t>
      </w:r>
      <w:r>
        <w:rPr>
          <w:rFonts w:hint="eastAsia" w:ascii="Times New Roman" w:hAnsi="Times New Roman" w:eastAsia="黑体" w:cs="黑体"/>
          <w:b/>
          <w:bCs/>
          <w:kern w:val="21"/>
          <w:lang w:val="en-US" w:eastAsia="zh-CN"/>
        </w:rPr>
        <w:t xml:space="preserve"> </w:t>
      </w:r>
      <w:r>
        <w:rPr>
          <w:rFonts w:hint="eastAsia" w:ascii="Times New Roman" w:hAnsi="Times New Roman" w:eastAsia="黑体" w:cs="黑体"/>
          <w:b w:val="0"/>
          <w:bCs w:val="0"/>
          <w:kern w:val="21"/>
        </w:rPr>
        <w:t>校准与维护</w:t>
      </w:r>
      <w:bookmarkEnd w:id="77"/>
    </w:p>
    <w:p w14:paraId="4E8876E3">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8.5.1</w:t>
      </w:r>
      <w:r>
        <w:rPr>
          <w:rFonts w:hint="eastAsia" w:ascii="Times New Roman" w:hAnsi="Times New Roman"/>
          <w:szCs w:val="24"/>
          <w:lang w:val="en-US" w:eastAsia="zh-CN"/>
        </w:rPr>
        <w:t xml:space="preserve"> </w:t>
      </w:r>
      <w:r>
        <w:rPr>
          <w:rFonts w:hint="eastAsia" w:ascii="Times New Roman" w:hAnsi="Times New Roman"/>
          <w:szCs w:val="24"/>
        </w:rPr>
        <w:t>设备校准</w:t>
      </w:r>
    </w:p>
    <w:p w14:paraId="4F3E4EAE">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rPr>
        <w:t>8.5.1</w:t>
      </w:r>
      <w:r>
        <w:rPr>
          <w:rFonts w:hint="eastAsia" w:ascii="Times New Roman" w:hAnsi="Times New Roman"/>
          <w:szCs w:val="24"/>
          <w:lang w:val="en-US" w:eastAsia="zh-CN"/>
        </w:rPr>
        <w:t>.1</w:t>
      </w:r>
      <w:r>
        <w:rPr>
          <w:rFonts w:hint="eastAsia" w:ascii="Times New Roman" w:hAnsi="Times New Roman"/>
          <w:szCs w:val="24"/>
        </w:rPr>
        <w:t xml:space="preserve"> 应建立定期校准制度，根据设备要求和使用情况，进行现场校准（如pH电极、溶解氧电极的标定）和实验室送检</w:t>
      </w:r>
      <w:r>
        <w:rPr>
          <w:rFonts w:hint="eastAsia" w:ascii="Times New Roman" w:hAnsi="Times New Roman"/>
          <w:szCs w:val="24"/>
          <w:lang w:eastAsia="zh-CN"/>
        </w:rPr>
        <w:t>。</w:t>
      </w:r>
    </w:p>
    <w:p w14:paraId="15887ED4">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8.5.1</w:t>
      </w:r>
      <w:r>
        <w:rPr>
          <w:rFonts w:hint="eastAsia" w:ascii="Times New Roman" w:hAnsi="Times New Roman"/>
          <w:szCs w:val="24"/>
          <w:lang w:val="en-US" w:eastAsia="zh-CN"/>
        </w:rPr>
        <w:t>.2</w:t>
      </w:r>
      <w:r>
        <w:rPr>
          <w:rFonts w:hint="eastAsia" w:ascii="Times New Roman" w:hAnsi="Times New Roman"/>
          <w:szCs w:val="24"/>
        </w:rPr>
        <w:t xml:space="preserve"> 校准记录应完整存档，建立设备校准档案，确保监测数据的溯源性。</w:t>
      </w:r>
    </w:p>
    <w:p w14:paraId="1759B0D1">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8.5.2 日常维护</w:t>
      </w:r>
    </w:p>
    <w:p w14:paraId="568EEC53">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rPr>
        <w:t>8.5.2</w:t>
      </w:r>
      <w:r>
        <w:rPr>
          <w:rFonts w:hint="eastAsia" w:ascii="Times New Roman" w:hAnsi="Times New Roman"/>
          <w:szCs w:val="24"/>
          <w:lang w:val="en-US" w:eastAsia="zh-CN"/>
        </w:rPr>
        <w:t>.1</w:t>
      </w:r>
      <w:r>
        <w:rPr>
          <w:rFonts w:hint="eastAsia" w:ascii="Times New Roman" w:hAnsi="Times New Roman"/>
          <w:szCs w:val="24"/>
        </w:rPr>
        <w:t xml:space="preserve"> 应制定详细的巡检和维护计划，包括定期清洗传感器、更换试剂和耗材、检查电源和通信系统等</w:t>
      </w:r>
      <w:r>
        <w:rPr>
          <w:rFonts w:hint="eastAsia" w:ascii="Times New Roman" w:hAnsi="Times New Roman"/>
          <w:szCs w:val="24"/>
          <w:lang w:eastAsia="zh-CN"/>
        </w:rPr>
        <w:t>。</w:t>
      </w:r>
    </w:p>
    <w:p w14:paraId="6A8115E9">
      <w:pPr>
        <w:adjustRightInd/>
        <w:spacing w:line="360" w:lineRule="auto"/>
        <w:ind w:firstLine="420" w:firstLineChars="200"/>
        <w:rPr>
          <w:rFonts w:ascii="Times New Roman" w:hAnsi="Times New Roman"/>
          <w:szCs w:val="24"/>
        </w:rPr>
      </w:pPr>
      <w:r>
        <w:rPr>
          <w:rFonts w:hint="eastAsia" w:ascii="Times New Roman" w:hAnsi="Times New Roman"/>
          <w:szCs w:val="24"/>
        </w:rPr>
        <w:t>8.5.2</w:t>
      </w:r>
      <w:r>
        <w:rPr>
          <w:rFonts w:hint="eastAsia" w:ascii="Times New Roman" w:hAnsi="Times New Roman"/>
          <w:szCs w:val="24"/>
          <w:lang w:val="en-US" w:eastAsia="zh-CN"/>
        </w:rPr>
        <w:t>.2</w:t>
      </w:r>
      <w:r>
        <w:rPr>
          <w:rFonts w:hint="eastAsia" w:ascii="Times New Roman" w:hAnsi="Times New Roman"/>
          <w:szCs w:val="24"/>
        </w:rPr>
        <w:t xml:space="preserve"> 维护操作应进行规范化记录，形成电子运维日志。</w:t>
      </w:r>
    </w:p>
    <w:p w14:paraId="02A0B7B5">
      <w:pPr>
        <w:keepNext/>
        <w:keepLines/>
        <w:pageBreakBefore w:val="0"/>
        <w:widowControl w:val="0"/>
        <w:numPr>
          <w:ilvl w:val="0"/>
          <w:numId w:val="32"/>
        </w:numPr>
        <w:kinsoku/>
        <w:wordWrap/>
        <w:overflowPunct/>
        <w:topLinePunct w:val="0"/>
        <w:autoSpaceDE/>
        <w:autoSpaceDN/>
        <w:bidi w:val="0"/>
        <w:adjustRightInd/>
        <w:snapToGrid/>
        <w:spacing w:before="313" w:beforeLines="100" w:after="313" w:afterLines="100" w:line="240" w:lineRule="auto"/>
        <w:ind w:left="363" w:leftChars="0" w:hanging="363" w:firstLineChars="0"/>
        <w:textAlignment w:val="auto"/>
        <w:outlineLvl w:val="0"/>
        <w:rPr>
          <w:rFonts w:hint="eastAsia" w:ascii="Times New Roman" w:hAnsi="Times New Roman" w:eastAsia="黑体"/>
          <w:b/>
          <w:bCs w:val="0"/>
          <w:kern w:val="44"/>
          <w:lang w:val="en-US" w:eastAsia="zh-CN"/>
        </w:rPr>
      </w:pPr>
      <w:bookmarkStart w:id="78" w:name="_Toc31198"/>
      <w:r>
        <w:rPr>
          <w:rFonts w:hint="eastAsia" w:ascii="Times New Roman" w:hAnsi="Times New Roman" w:eastAsia="黑体"/>
          <w:b/>
          <w:bCs w:val="0"/>
          <w:kern w:val="44"/>
          <w:lang w:val="en-US" w:eastAsia="zh-CN"/>
        </w:rPr>
        <w:t>数据、模型与孪生应用</w:t>
      </w:r>
      <w:bookmarkEnd w:id="78"/>
    </w:p>
    <w:p w14:paraId="02FBD6D2">
      <w:pPr>
        <w:keepNext/>
        <w:keepLines/>
        <w:tabs>
          <w:tab w:val="left" w:pos="420"/>
          <w:tab w:val="left" w:pos="540"/>
        </w:tabs>
        <w:adjustRightInd/>
        <w:spacing w:before="156" w:beforeLines="50" w:after="156" w:afterLines="50" w:line="240" w:lineRule="auto"/>
        <w:outlineLvl w:val="1"/>
        <w:rPr>
          <w:rFonts w:ascii="Times New Roman" w:hAnsi="Times New Roman" w:eastAsia="黑体" w:cs="黑体"/>
          <w:bCs/>
          <w:kern w:val="21"/>
        </w:rPr>
      </w:pPr>
      <w:bookmarkStart w:id="79" w:name="_Toc19608"/>
      <w:bookmarkStart w:id="80" w:name="_Toc31560"/>
      <w:r>
        <w:rPr>
          <w:rFonts w:hint="eastAsia" w:ascii="Times New Roman" w:hAnsi="Times New Roman" w:eastAsia="黑体" w:cs="黑体"/>
          <w:b/>
          <w:bCs w:val="0"/>
          <w:kern w:val="21"/>
        </w:rPr>
        <w:t>9.1</w:t>
      </w:r>
      <w:r>
        <w:rPr>
          <w:rFonts w:hint="eastAsia" w:ascii="Times New Roman" w:hAnsi="Times New Roman" w:eastAsia="黑体" w:cs="黑体"/>
          <w:bCs/>
          <w:kern w:val="21"/>
          <w:lang w:val="en-US" w:eastAsia="zh-CN"/>
        </w:rPr>
        <w:t xml:space="preserve">  </w:t>
      </w:r>
      <w:r>
        <w:rPr>
          <w:rFonts w:hint="eastAsia" w:ascii="Times New Roman" w:hAnsi="Times New Roman" w:eastAsia="黑体" w:cs="黑体"/>
          <w:bCs/>
          <w:kern w:val="21"/>
        </w:rPr>
        <w:t>一般规定</w:t>
      </w:r>
      <w:bookmarkEnd w:id="79"/>
      <w:bookmarkEnd w:id="80"/>
    </w:p>
    <w:p w14:paraId="5467A5E2">
      <w:pPr>
        <w:adjustRightInd/>
        <w:spacing w:line="360" w:lineRule="auto"/>
        <w:ind w:firstLine="420" w:firstLineChars="200"/>
        <w:rPr>
          <w:rFonts w:hint="eastAsia" w:ascii="Times New Roman" w:hAnsi="Times New Roman"/>
          <w:szCs w:val="24"/>
          <w:lang w:val="en-US" w:eastAsia="zh-CN"/>
        </w:rPr>
      </w:pPr>
      <w:r>
        <w:rPr>
          <w:rFonts w:hint="eastAsia" w:ascii="Times New Roman" w:hAnsi="Times New Roman"/>
          <w:szCs w:val="24"/>
          <w:lang w:val="en-US" w:eastAsia="zh-CN"/>
        </w:rPr>
        <w:t>9.1.1 应构建符合第4.1条规定的孪生层，建立统一的数据资源中心和模型库，实现对感知层数据的融合治理，并驱动数字孪生水网的构建、模拟与迭代更新。</w:t>
      </w:r>
    </w:p>
    <w:p w14:paraId="6F4A6355">
      <w:pPr>
        <w:adjustRightInd/>
        <w:spacing w:line="360" w:lineRule="auto"/>
        <w:ind w:firstLine="420" w:firstLineChars="200"/>
        <w:rPr>
          <w:rFonts w:hint="eastAsia" w:ascii="Times New Roman" w:hAnsi="Times New Roman"/>
          <w:szCs w:val="24"/>
          <w:lang w:val="en-US" w:eastAsia="zh-CN"/>
        </w:rPr>
      </w:pPr>
      <w:r>
        <w:rPr>
          <w:rFonts w:hint="eastAsia" w:ascii="Times New Roman" w:hAnsi="Times New Roman"/>
          <w:szCs w:val="24"/>
          <w:lang w:val="en-US" w:eastAsia="zh-CN"/>
        </w:rPr>
        <w:t>9.1.2 数据管理应遵循标准化、规范化、一体化的原则，确保数据的准确性、完整性、一致性和安全性。</w:t>
      </w:r>
    </w:p>
    <w:p w14:paraId="68EAEF82">
      <w:pPr>
        <w:adjustRightInd/>
        <w:spacing w:line="360" w:lineRule="auto"/>
        <w:ind w:firstLine="420" w:firstLineChars="200"/>
        <w:rPr>
          <w:rFonts w:hint="eastAsia" w:ascii="Times New Roman" w:hAnsi="Times New Roman"/>
          <w:szCs w:val="24"/>
        </w:rPr>
      </w:pPr>
      <w:r>
        <w:rPr>
          <w:rFonts w:hint="eastAsia" w:ascii="Times New Roman" w:hAnsi="Times New Roman"/>
          <w:szCs w:val="24"/>
          <w:lang w:val="en-US" w:eastAsia="zh-CN"/>
        </w:rPr>
        <w:t>9.1.3 应提供丰富、高效的数据服务与智能分析应用，为水网运行调度、灾害防控、水资源管理、水环境保护提供决策支持。</w:t>
      </w:r>
    </w:p>
    <w:p w14:paraId="0D69441A">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val="0"/>
          <w:kern w:val="21"/>
        </w:rPr>
      </w:pPr>
      <w:bookmarkStart w:id="81" w:name="_Toc15882"/>
      <w:r>
        <w:rPr>
          <w:rFonts w:hint="eastAsia" w:ascii="Times New Roman" w:hAnsi="Times New Roman" w:eastAsia="黑体" w:cs="黑体"/>
          <w:b/>
          <w:bCs w:val="0"/>
          <w:kern w:val="21"/>
        </w:rPr>
        <w:t xml:space="preserve">9.2 </w:t>
      </w:r>
      <w:r>
        <w:rPr>
          <w:rFonts w:hint="eastAsia" w:ascii="Times New Roman" w:hAnsi="Times New Roman" w:eastAsia="黑体" w:cs="黑体"/>
          <w:b/>
          <w:bCs w:val="0"/>
          <w:kern w:val="21"/>
          <w:lang w:val="en-US" w:eastAsia="zh-CN"/>
        </w:rPr>
        <w:t xml:space="preserve"> </w:t>
      </w:r>
      <w:r>
        <w:rPr>
          <w:rFonts w:hint="eastAsia" w:ascii="Times New Roman" w:hAnsi="Times New Roman" w:eastAsia="黑体" w:cs="黑体"/>
          <w:b w:val="0"/>
          <w:bCs/>
          <w:kern w:val="21"/>
        </w:rPr>
        <w:t>数据内容与分类</w:t>
      </w:r>
      <w:bookmarkEnd w:id="81"/>
    </w:p>
    <w:p w14:paraId="0E7D039C">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数据资源中心管理的数据主要包括以下类别：</w:t>
      </w:r>
    </w:p>
    <w:p w14:paraId="199A1EDD">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a) 原始数据：卫星原始影像、航空原始影像、地面传感器采集的原始读数、视频流等。</w:t>
      </w:r>
    </w:p>
    <w:p w14:paraId="65C18324">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b) 预处理后数据：经过辐射校正、几何校正、大气校正的遥感影像；经过时间同步、坐标统一、格式标准化处理的地面监测数据。</w:t>
      </w:r>
    </w:p>
    <w:p w14:paraId="56839960">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c) 专题产品数据：通过解译、反演、分析生成的派生数据，如水体范围图、水质参数分布图、流量数据、水质等级评价结果、形变速率图等。</w:t>
      </w:r>
    </w:p>
    <w:p w14:paraId="61DC27B5">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d) 基础地理与背景数据：数字高程模型（DEM）、数字线划图（DLG）、行政边界、水利工程设施矢量图、土地利用数据等。</w:t>
      </w:r>
    </w:p>
    <w:p w14:paraId="21A23B1A">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e) 业务元数据：描述上述数据本身特征的数据，包括数据标识、来源、采集时间、空间范围、坐标系、精度、处理过程、质量评价等信息。</w:t>
      </w:r>
    </w:p>
    <w:p w14:paraId="17A3F476">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val="0"/>
          <w:kern w:val="21"/>
        </w:rPr>
      </w:pPr>
      <w:bookmarkStart w:id="82" w:name="_Toc23792"/>
      <w:r>
        <w:rPr>
          <w:rFonts w:hint="eastAsia" w:ascii="Times New Roman" w:hAnsi="Times New Roman" w:eastAsia="黑体" w:cs="黑体"/>
          <w:b/>
          <w:bCs w:val="0"/>
          <w:kern w:val="21"/>
        </w:rPr>
        <w:t xml:space="preserve">9.3 </w:t>
      </w:r>
      <w:r>
        <w:rPr>
          <w:rFonts w:hint="eastAsia" w:ascii="Times New Roman" w:hAnsi="Times New Roman" w:eastAsia="黑体" w:cs="黑体"/>
          <w:b/>
          <w:bCs w:val="0"/>
          <w:kern w:val="21"/>
          <w:lang w:val="en-US" w:eastAsia="zh-CN"/>
        </w:rPr>
        <w:t xml:space="preserve"> </w:t>
      </w:r>
      <w:r>
        <w:rPr>
          <w:rFonts w:hint="eastAsia" w:ascii="Times New Roman" w:hAnsi="Times New Roman" w:eastAsia="黑体" w:cs="黑体"/>
          <w:b w:val="0"/>
          <w:bCs/>
          <w:kern w:val="21"/>
        </w:rPr>
        <w:t>数据治理与质量控制</w:t>
      </w:r>
      <w:bookmarkEnd w:id="82"/>
    </w:p>
    <w:p w14:paraId="6CE1DA6A">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9.3.1 数据接入</w:t>
      </w:r>
    </w:p>
    <w:p w14:paraId="5CA82567">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应提供标准化的数据接入接口，支持多种通信协议（如S</w:t>
      </w:r>
      <w:r>
        <w:rPr>
          <w:rFonts w:hint="eastAsia" w:ascii="Times New Roman" w:hAnsi="Times New Roman"/>
          <w:szCs w:val="24"/>
          <w:lang w:val="en-US" w:eastAsia="zh-CN"/>
        </w:rPr>
        <w:t>L/T</w:t>
      </w:r>
      <w:r>
        <w:rPr>
          <w:rFonts w:hint="eastAsia" w:ascii="Times New Roman" w:hAnsi="Times New Roman"/>
          <w:szCs w:val="24"/>
        </w:rPr>
        <w:t xml:space="preserve"> 651</w:t>
      </w:r>
      <w:r>
        <w:rPr>
          <w:rFonts w:hint="eastAsia" w:ascii="Times New Roman" w:hAnsi="Times New Roman"/>
          <w:szCs w:val="24"/>
          <w:lang w:eastAsia="zh-CN"/>
        </w:rPr>
        <w:t>、</w:t>
      </w:r>
      <w:r>
        <w:rPr>
          <w:rFonts w:hint="eastAsia" w:ascii="Times New Roman" w:hAnsi="Times New Roman"/>
          <w:szCs w:val="24"/>
        </w:rPr>
        <w:t>MQTT</w:t>
      </w:r>
      <w:r>
        <w:rPr>
          <w:rFonts w:hint="eastAsia" w:ascii="Times New Roman" w:hAnsi="Times New Roman"/>
          <w:szCs w:val="24"/>
          <w:lang w:eastAsia="zh-CN"/>
        </w:rPr>
        <w:t>、</w:t>
      </w:r>
      <w:r>
        <w:rPr>
          <w:rFonts w:hint="eastAsia" w:ascii="Times New Roman" w:hAnsi="Times New Roman"/>
          <w:szCs w:val="24"/>
        </w:rPr>
        <w:t>HTTP</w:t>
      </w:r>
      <w:r>
        <w:rPr>
          <w:rFonts w:hint="eastAsia" w:ascii="Times New Roman" w:hAnsi="Times New Roman"/>
          <w:szCs w:val="24"/>
          <w:lang w:eastAsia="zh-CN"/>
        </w:rPr>
        <w:t>、</w:t>
      </w:r>
      <w:r>
        <w:rPr>
          <w:rFonts w:hint="eastAsia" w:ascii="Times New Roman" w:hAnsi="Times New Roman"/>
          <w:szCs w:val="24"/>
        </w:rPr>
        <w:t>FTP）和多种数据格式（如JSON</w:t>
      </w:r>
      <w:r>
        <w:rPr>
          <w:rFonts w:hint="eastAsia" w:ascii="Times New Roman" w:hAnsi="Times New Roman"/>
          <w:szCs w:val="24"/>
          <w:lang w:eastAsia="zh-CN"/>
        </w:rPr>
        <w:t>、</w:t>
      </w:r>
      <w:r>
        <w:rPr>
          <w:rFonts w:hint="eastAsia" w:ascii="Times New Roman" w:hAnsi="Times New Roman"/>
          <w:szCs w:val="24"/>
        </w:rPr>
        <w:t>XML</w:t>
      </w:r>
      <w:r>
        <w:rPr>
          <w:rFonts w:hint="eastAsia" w:ascii="Times New Roman" w:hAnsi="Times New Roman"/>
          <w:szCs w:val="24"/>
          <w:lang w:eastAsia="zh-CN"/>
        </w:rPr>
        <w:t>、</w:t>
      </w:r>
      <w:r>
        <w:rPr>
          <w:rFonts w:hint="eastAsia" w:ascii="Times New Roman" w:hAnsi="Times New Roman"/>
          <w:szCs w:val="24"/>
        </w:rPr>
        <w:t>Shapefile</w:t>
      </w:r>
      <w:r>
        <w:rPr>
          <w:rFonts w:hint="eastAsia" w:ascii="Times New Roman" w:hAnsi="Times New Roman"/>
          <w:szCs w:val="24"/>
          <w:lang w:eastAsia="zh-CN"/>
        </w:rPr>
        <w:t>、</w:t>
      </w:r>
      <w:r>
        <w:rPr>
          <w:rFonts w:hint="eastAsia" w:ascii="Times New Roman" w:hAnsi="Times New Roman"/>
          <w:szCs w:val="24"/>
        </w:rPr>
        <w:t>GeoTIFF</w:t>
      </w:r>
      <w:r>
        <w:rPr>
          <w:rFonts w:hint="eastAsia" w:ascii="Times New Roman" w:hAnsi="Times New Roman"/>
          <w:szCs w:val="24"/>
          <w:lang w:eastAsia="zh-CN"/>
        </w:rPr>
        <w:t>、</w:t>
      </w:r>
      <w:r>
        <w:rPr>
          <w:rFonts w:hint="eastAsia" w:ascii="Times New Roman" w:hAnsi="Times New Roman"/>
          <w:szCs w:val="24"/>
        </w:rPr>
        <w:t>HDF5），实现数据的自动接入与解析。</w:t>
      </w:r>
    </w:p>
    <w:p w14:paraId="23A5A484">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rPr>
        <w:t>9.3.2 数据预处理</w:t>
      </w:r>
    </w:p>
    <w:p w14:paraId="5FD1BA71">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rPr>
        <w:t>9.3.2</w:t>
      </w:r>
      <w:r>
        <w:rPr>
          <w:rFonts w:hint="eastAsia" w:ascii="Times New Roman" w:hAnsi="Times New Roman"/>
          <w:szCs w:val="24"/>
          <w:lang w:val="en-US" w:eastAsia="zh-CN"/>
        </w:rPr>
        <w:t>.1</w:t>
      </w:r>
      <w:r>
        <w:rPr>
          <w:rFonts w:hint="eastAsia" w:ascii="Times New Roman" w:hAnsi="Times New Roman"/>
          <w:szCs w:val="24"/>
        </w:rPr>
        <w:t xml:space="preserve"> 应对接入的数据进行自动化的质量初检，包括：完整性检查、格式合规性检查、阈值范围（合理性）检查</w:t>
      </w:r>
      <w:r>
        <w:rPr>
          <w:rFonts w:hint="eastAsia" w:ascii="Times New Roman" w:hAnsi="Times New Roman"/>
          <w:szCs w:val="24"/>
          <w:lang w:eastAsia="zh-CN"/>
        </w:rPr>
        <w:t>。</w:t>
      </w:r>
    </w:p>
    <w:p w14:paraId="7254169E">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9.3.2</w:t>
      </w:r>
      <w:r>
        <w:rPr>
          <w:rFonts w:hint="eastAsia" w:ascii="Times New Roman" w:hAnsi="Times New Roman"/>
          <w:szCs w:val="24"/>
          <w:lang w:val="en-US" w:eastAsia="zh-CN"/>
        </w:rPr>
        <w:t>.2</w:t>
      </w:r>
      <w:r>
        <w:rPr>
          <w:rFonts w:hint="eastAsia" w:ascii="Times New Roman" w:hAnsi="Times New Roman"/>
          <w:szCs w:val="24"/>
        </w:rPr>
        <w:t xml:space="preserve"> 应对地面监测数据进行缺失值插补、异常值识别与剔除等基本处理。</w:t>
      </w:r>
    </w:p>
    <w:p w14:paraId="6AB4133C">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rPr>
        <w:t>9.3.3 数据质量控制（QA/QC）</w:t>
      </w:r>
    </w:p>
    <w:p w14:paraId="31399BDA">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rPr>
        <w:t>9.3.3</w:t>
      </w:r>
      <w:r>
        <w:rPr>
          <w:rFonts w:hint="eastAsia" w:ascii="Times New Roman" w:hAnsi="Times New Roman"/>
          <w:szCs w:val="24"/>
          <w:lang w:val="en-US" w:eastAsia="zh-CN"/>
        </w:rPr>
        <w:t>.1</w:t>
      </w:r>
      <w:r>
        <w:rPr>
          <w:rFonts w:hint="eastAsia" w:ascii="Times New Roman" w:hAnsi="Times New Roman"/>
          <w:szCs w:val="24"/>
        </w:rPr>
        <w:t xml:space="preserve"> 应建立多级数据质量控制系统，包括仪器设备自检、平台自动校验和人工审核</w:t>
      </w:r>
      <w:r>
        <w:rPr>
          <w:rFonts w:hint="eastAsia" w:ascii="Times New Roman" w:hAnsi="Times New Roman"/>
          <w:szCs w:val="24"/>
          <w:lang w:eastAsia="zh-CN"/>
        </w:rPr>
        <w:t>。</w:t>
      </w:r>
    </w:p>
    <w:p w14:paraId="5A8E5231">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rPr>
        <w:t>9.3.3</w:t>
      </w:r>
      <w:r>
        <w:rPr>
          <w:rFonts w:hint="eastAsia" w:ascii="Times New Roman" w:hAnsi="Times New Roman"/>
          <w:szCs w:val="24"/>
          <w:lang w:val="en-US" w:eastAsia="zh-CN"/>
        </w:rPr>
        <w:t>.2</w:t>
      </w:r>
      <w:r>
        <w:rPr>
          <w:rFonts w:hint="eastAsia" w:ascii="Times New Roman" w:hAnsi="Times New Roman"/>
          <w:szCs w:val="24"/>
        </w:rPr>
        <w:t xml:space="preserve"> 应采用逻辑规则校验、统计规律分析、多源数据交叉验证等方法进行数据质量评估与控制</w:t>
      </w:r>
      <w:r>
        <w:rPr>
          <w:rFonts w:hint="eastAsia" w:ascii="Times New Roman" w:hAnsi="Times New Roman"/>
          <w:szCs w:val="24"/>
          <w:lang w:eastAsia="zh-CN"/>
        </w:rPr>
        <w:t>，，​数据合理性检查的阈值范围可参照GB 3838等相关标准设定。</w:t>
      </w:r>
    </w:p>
    <w:p w14:paraId="3D2CC71F">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9.3.3</w:t>
      </w:r>
      <w:r>
        <w:rPr>
          <w:rFonts w:hint="eastAsia" w:ascii="Times New Roman" w:hAnsi="Times New Roman"/>
          <w:szCs w:val="24"/>
          <w:lang w:val="en-US" w:eastAsia="zh-CN"/>
        </w:rPr>
        <w:t>.3</w:t>
      </w:r>
      <w:r>
        <w:rPr>
          <w:rFonts w:hint="eastAsia" w:ascii="Times New Roman" w:hAnsi="Times New Roman"/>
          <w:szCs w:val="24"/>
        </w:rPr>
        <w:t xml:space="preserve"> 所有数据应被打上质量标识，标识定义应符合表</w:t>
      </w:r>
      <w:r>
        <w:rPr>
          <w:rFonts w:hint="eastAsia" w:ascii="Times New Roman" w:hAnsi="Times New Roman"/>
          <w:szCs w:val="24"/>
          <w:lang w:val="en-US" w:eastAsia="zh-CN"/>
        </w:rPr>
        <w:t>5</w:t>
      </w:r>
      <w:r>
        <w:rPr>
          <w:rFonts w:hint="eastAsia" w:ascii="Times New Roman" w:hAnsi="Times New Roman"/>
          <w:szCs w:val="24"/>
        </w:rPr>
        <w:t>的规定。</w:t>
      </w:r>
    </w:p>
    <w:p w14:paraId="040F04E5">
      <w:pPr>
        <w:adjustRightInd/>
        <w:spacing w:line="360" w:lineRule="auto"/>
        <w:jc w:val="center"/>
        <w:rPr>
          <w:rFonts w:hint="eastAsia" w:ascii="Times New Roman" w:hAnsi="Times New Roman"/>
          <w:szCs w:val="24"/>
        </w:rPr>
      </w:pPr>
      <w:r>
        <w:rPr>
          <w:rFonts w:hint="eastAsia" w:ascii="Times New Roman" w:hAnsi="Times New Roman"/>
          <w:szCs w:val="24"/>
        </w:rPr>
        <w:t>表</w:t>
      </w:r>
      <w:r>
        <w:rPr>
          <w:rFonts w:hint="eastAsia" w:ascii="Times New Roman" w:hAnsi="Times New Roman"/>
          <w:szCs w:val="24"/>
          <w:lang w:val="en-US" w:eastAsia="zh-CN"/>
        </w:rPr>
        <w:t>5</w:t>
      </w:r>
      <w:r>
        <w:rPr>
          <w:rFonts w:hint="eastAsia" w:ascii="Times New Roman" w:hAnsi="Times New Roman"/>
          <w:szCs w:val="24"/>
        </w:rPr>
        <w:t xml:space="preserve"> 数据质量标识定义</w:t>
      </w:r>
    </w:p>
    <w:tbl>
      <w:tblPr>
        <w:tblStyle w:val="30"/>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266"/>
        <w:gridCol w:w="1476"/>
        <w:gridCol w:w="4206"/>
      </w:tblGrid>
      <w:tr w14:paraId="5E6482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C68CB6">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质量标识码</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3D292A">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含义</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561E82">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处理建议</w:t>
            </w:r>
          </w:p>
        </w:tc>
      </w:tr>
      <w:tr w14:paraId="68966B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B950E1">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B30655">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原始数据</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00D962">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未经过任何质量控制处理</w:t>
            </w:r>
          </w:p>
        </w:tc>
      </w:tr>
      <w:tr w14:paraId="1F5599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34075F">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FDC274">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质量合格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C471CA">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可通过检查，可直接应用</w:t>
            </w:r>
          </w:p>
        </w:tc>
      </w:tr>
      <w:tr w14:paraId="52BFBC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C75E4F">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737BB8">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可疑数据</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52FF06">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数据存在疑点，需谨慎使用，并进一步核实</w:t>
            </w:r>
          </w:p>
        </w:tc>
      </w:tr>
      <w:tr w14:paraId="7F9911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1D1E07">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809D85">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无效数据</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512CCA">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数据明显错误，应剔除，不得用于分析</w:t>
            </w:r>
          </w:p>
        </w:tc>
      </w:tr>
      <w:tr w14:paraId="05AB54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6DCFF0">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CC26B8">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人工修正数据</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4E5F46">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经人工干预修正后的数据，需备注修正原因</w:t>
            </w:r>
          </w:p>
        </w:tc>
      </w:tr>
    </w:tbl>
    <w:p w14:paraId="3DC4FEFD">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9.3.4 数据存储与管理</w:t>
      </w:r>
    </w:p>
    <w:p w14:paraId="76FF6C9D">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rPr>
        <w:t>9.3.4</w:t>
      </w:r>
      <w:r>
        <w:rPr>
          <w:rFonts w:hint="eastAsia" w:ascii="Times New Roman" w:hAnsi="Times New Roman"/>
          <w:szCs w:val="24"/>
          <w:lang w:val="en-US" w:eastAsia="zh-CN"/>
        </w:rPr>
        <w:t>.1</w:t>
      </w:r>
      <w:r>
        <w:rPr>
          <w:rFonts w:hint="eastAsia" w:ascii="Times New Roman" w:hAnsi="Times New Roman"/>
          <w:szCs w:val="24"/>
        </w:rPr>
        <w:t xml:space="preserve"> 应采用关系型数据库（如PostgreSQL</w:t>
      </w:r>
      <w:r>
        <w:rPr>
          <w:rFonts w:hint="eastAsia" w:ascii="Times New Roman" w:hAnsi="Times New Roman"/>
          <w:szCs w:val="24"/>
          <w:lang w:eastAsia="zh-CN"/>
        </w:rPr>
        <w:t>、</w:t>
      </w:r>
      <w:r>
        <w:rPr>
          <w:rFonts w:hint="eastAsia" w:ascii="Times New Roman" w:hAnsi="Times New Roman"/>
          <w:szCs w:val="24"/>
        </w:rPr>
        <w:t>MySQL）存储结构化监测数据、元数据和业务数据</w:t>
      </w:r>
      <w:r>
        <w:rPr>
          <w:rFonts w:hint="eastAsia" w:ascii="Times New Roman" w:hAnsi="Times New Roman"/>
          <w:szCs w:val="24"/>
          <w:lang w:eastAsia="zh-CN"/>
        </w:rPr>
        <w:t>，数据库设计宜遵循GB/T 20271中的安全规定。</w:t>
      </w:r>
    </w:p>
    <w:p w14:paraId="3C8FFFD6">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rPr>
        <w:t>9.3.4</w:t>
      </w:r>
      <w:r>
        <w:rPr>
          <w:rFonts w:hint="eastAsia" w:ascii="Times New Roman" w:hAnsi="Times New Roman"/>
          <w:szCs w:val="24"/>
          <w:lang w:val="en-US" w:eastAsia="zh-CN"/>
        </w:rPr>
        <w:t>.2</w:t>
      </w:r>
      <w:r>
        <w:rPr>
          <w:rFonts w:hint="eastAsia" w:ascii="Times New Roman" w:hAnsi="Times New Roman"/>
          <w:szCs w:val="24"/>
        </w:rPr>
        <w:t xml:space="preserve"> 应采用时空数据库（如PostGIS）或大数据平台（如Hadoop, Spark）存储和管理带有空间位置和时间的监测数据与产品数据</w:t>
      </w:r>
      <w:r>
        <w:rPr>
          <w:rFonts w:hint="eastAsia" w:ascii="Times New Roman" w:hAnsi="Times New Roman"/>
          <w:szCs w:val="24"/>
          <w:lang w:eastAsia="zh-CN"/>
        </w:rPr>
        <w:t>。</w:t>
      </w:r>
    </w:p>
    <w:p w14:paraId="584194DB">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rPr>
        <w:t>9.3.4</w:t>
      </w:r>
      <w:r>
        <w:rPr>
          <w:rFonts w:hint="eastAsia" w:ascii="Times New Roman" w:hAnsi="Times New Roman"/>
          <w:szCs w:val="24"/>
          <w:lang w:val="en-US" w:eastAsia="zh-CN"/>
        </w:rPr>
        <w:t>.3</w:t>
      </w:r>
      <w:r>
        <w:rPr>
          <w:rFonts w:hint="eastAsia" w:ascii="Times New Roman" w:hAnsi="Times New Roman"/>
          <w:szCs w:val="24"/>
        </w:rPr>
        <w:t xml:space="preserve"> 应采用对象存储服务存储海量的遥感影像、视频、文档等非结构化数据</w:t>
      </w:r>
      <w:r>
        <w:rPr>
          <w:rFonts w:hint="eastAsia" w:ascii="Times New Roman" w:hAnsi="Times New Roman"/>
          <w:szCs w:val="24"/>
          <w:lang w:eastAsia="zh-CN"/>
        </w:rPr>
        <w:t>。</w:t>
      </w:r>
    </w:p>
    <w:p w14:paraId="15C400BE">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9.3.4</w:t>
      </w:r>
      <w:r>
        <w:rPr>
          <w:rFonts w:hint="eastAsia" w:ascii="Times New Roman" w:hAnsi="Times New Roman"/>
          <w:szCs w:val="24"/>
          <w:lang w:val="en-US" w:eastAsia="zh-CN"/>
        </w:rPr>
        <w:t>.4</w:t>
      </w:r>
      <w:r>
        <w:rPr>
          <w:rFonts w:hint="eastAsia" w:ascii="Times New Roman" w:hAnsi="Times New Roman"/>
          <w:szCs w:val="24"/>
        </w:rPr>
        <w:t xml:space="preserve"> 应制定数据备份与恢复策略，实现数据的异地、异质备份，确保数据安全。</w:t>
      </w:r>
    </w:p>
    <w:p w14:paraId="695E1640">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val="0"/>
          <w:kern w:val="21"/>
        </w:rPr>
      </w:pPr>
      <w:bookmarkStart w:id="83" w:name="_Toc22059"/>
      <w:r>
        <w:rPr>
          <w:rFonts w:hint="eastAsia" w:ascii="Times New Roman" w:hAnsi="Times New Roman" w:eastAsia="黑体" w:cs="黑体"/>
          <w:b/>
          <w:bCs w:val="0"/>
          <w:kern w:val="21"/>
        </w:rPr>
        <w:t xml:space="preserve">9.4 </w:t>
      </w:r>
      <w:r>
        <w:rPr>
          <w:rFonts w:hint="eastAsia" w:ascii="Times New Roman" w:hAnsi="Times New Roman" w:eastAsia="黑体" w:cs="黑体"/>
          <w:b/>
          <w:bCs w:val="0"/>
          <w:kern w:val="21"/>
          <w:lang w:val="en-US" w:eastAsia="zh-CN"/>
        </w:rPr>
        <w:t xml:space="preserve"> </w:t>
      </w:r>
      <w:r>
        <w:rPr>
          <w:rFonts w:hint="eastAsia" w:ascii="Times New Roman" w:hAnsi="Times New Roman" w:eastAsia="黑体" w:cs="黑体"/>
          <w:b w:val="0"/>
          <w:bCs/>
          <w:kern w:val="21"/>
        </w:rPr>
        <w:t>数据融合、挖掘与模型集成</w:t>
      </w:r>
      <w:bookmarkEnd w:id="83"/>
    </w:p>
    <w:p w14:paraId="6F291FF7">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9.4.1 数据融合与挖掘</w:t>
      </w:r>
    </w:p>
    <w:p w14:paraId="4A930016">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9.4.1</w:t>
      </w:r>
      <w:r>
        <w:rPr>
          <w:rFonts w:hint="eastAsia" w:ascii="Times New Roman" w:hAnsi="Times New Roman"/>
          <w:szCs w:val="24"/>
          <w:lang w:val="en-US" w:eastAsia="zh-CN"/>
        </w:rPr>
        <w:t>.1</w:t>
      </w:r>
      <w:r>
        <w:rPr>
          <w:rFonts w:hint="eastAsia" w:ascii="Times New Roman" w:hAnsi="Times New Roman"/>
          <w:szCs w:val="24"/>
        </w:rPr>
        <w:t>应利用数据同化、机器学习、统计分析等技术，对天、空、地多源监测数据进行融合处理，生成时空连续性更强、精度更高、信息更丰富的融合产品。</w:t>
      </w:r>
    </w:p>
    <w:p w14:paraId="107CAD69">
      <w:pPr>
        <w:adjustRightInd/>
        <w:spacing w:line="360" w:lineRule="auto"/>
        <w:ind w:firstLine="420" w:firstLineChars="200"/>
        <w:rPr>
          <w:rFonts w:hint="eastAsia" w:ascii="Times New Roman" w:hAnsi="Times New Roman"/>
          <w:szCs w:val="24"/>
        </w:rPr>
      </w:pPr>
      <w:r>
        <w:rPr>
          <w:rFonts w:hint="eastAsia" w:ascii="Times New Roman" w:hAnsi="Times New Roman"/>
          <w:szCs w:val="24"/>
          <w:lang w:val="en-US" w:eastAsia="zh-CN"/>
        </w:rPr>
        <w:t>9.4.1.2</w:t>
      </w:r>
      <w:r>
        <w:rPr>
          <w:rFonts w:hint="eastAsia" w:ascii="Times New Roman" w:hAnsi="Times New Roman"/>
          <w:szCs w:val="24"/>
        </w:rPr>
        <w:t xml:space="preserve"> 应提供趋势分析、对比分析、统计分析等基本分析工具。</w:t>
      </w:r>
    </w:p>
    <w:p w14:paraId="4A0DA7D2">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9.4.</w:t>
      </w:r>
      <w:r>
        <w:rPr>
          <w:rFonts w:hint="eastAsia" w:ascii="Times New Roman" w:hAnsi="Times New Roman"/>
          <w:szCs w:val="24"/>
          <w:lang w:val="en-US" w:eastAsia="zh-CN"/>
        </w:rPr>
        <w:t>1.3</w:t>
      </w:r>
      <w:r>
        <w:rPr>
          <w:rFonts w:hint="eastAsia" w:ascii="Times New Roman" w:hAnsi="Times New Roman"/>
          <w:szCs w:val="24"/>
        </w:rPr>
        <w:t xml:space="preserve"> 应利用人工智能（AI）模型，实现水质水情的智能预测预警、水华发生发展模拟、污染溯源分析、水利工程安全态势感知等深度挖掘应用。</w:t>
      </w:r>
    </w:p>
    <w:p w14:paraId="2DEBA07F">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9.4.2 模型集成与管理</w:t>
      </w:r>
    </w:p>
    <w:p w14:paraId="42018A9C">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9.4.2</w:t>
      </w:r>
      <w:r>
        <w:rPr>
          <w:rFonts w:hint="eastAsia" w:ascii="Times New Roman" w:hAnsi="Times New Roman"/>
          <w:szCs w:val="24"/>
          <w:lang w:val="en-US" w:eastAsia="zh-CN"/>
        </w:rPr>
        <w:t>.1</w:t>
      </w:r>
      <w:r>
        <w:rPr>
          <w:rFonts w:hint="eastAsia" w:ascii="Times New Roman" w:hAnsi="Times New Roman"/>
          <w:szCs w:val="24"/>
        </w:rPr>
        <w:t xml:space="preserve"> 应建立数字孪生水网模型库，用于集成和管理水文、水动力、水质、水生态及工程安全分析等各类专业模型。</w:t>
      </w:r>
    </w:p>
    <w:p w14:paraId="10D2A97D">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9.4.2</w:t>
      </w:r>
      <w:r>
        <w:rPr>
          <w:rFonts w:hint="eastAsia" w:ascii="Times New Roman" w:hAnsi="Times New Roman"/>
          <w:szCs w:val="24"/>
          <w:lang w:val="en-US" w:eastAsia="zh-CN"/>
        </w:rPr>
        <w:t>.2</w:t>
      </w:r>
      <w:r>
        <w:rPr>
          <w:rFonts w:hint="eastAsia" w:ascii="Times New Roman" w:hAnsi="Times New Roman"/>
          <w:szCs w:val="24"/>
        </w:rPr>
        <w:t xml:space="preserve"> 应建立模型校准和验证机制，利用9.3节治理后的高质量监测数据对模型参数进行率定和优化，确保数字孪生水网的模拟精度和可靠性。</w:t>
      </w:r>
    </w:p>
    <w:p w14:paraId="7D9DA6D7">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9.4.2</w:t>
      </w:r>
      <w:r>
        <w:rPr>
          <w:rFonts w:hint="eastAsia" w:ascii="Times New Roman" w:hAnsi="Times New Roman"/>
          <w:szCs w:val="24"/>
          <w:lang w:val="en-US" w:eastAsia="zh-CN"/>
        </w:rPr>
        <w:t>.3</w:t>
      </w:r>
      <w:r>
        <w:rPr>
          <w:rFonts w:hint="eastAsia" w:ascii="Times New Roman" w:hAnsi="Times New Roman"/>
          <w:szCs w:val="24"/>
        </w:rPr>
        <w:t xml:space="preserve"> 鼓励采用开放模型接口标准（如OpenMI）​，实现多模型之间的协同耦合与集成计算，支撑综合模拟推演。</w:t>
      </w:r>
    </w:p>
    <w:p w14:paraId="005BFE16">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val="0"/>
          <w:bCs/>
          <w:kern w:val="21"/>
        </w:rPr>
      </w:pPr>
      <w:bookmarkStart w:id="84" w:name="_Toc1637"/>
      <w:r>
        <w:rPr>
          <w:rFonts w:hint="eastAsia" w:ascii="Times New Roman" w:hAnsi="Times New Roman" w:eastAsia="黑体" w:cs="黑体"/>
          <w:b/>
          <w:bCs w:val="0"/>
          <w:kern w:val="21"/>
        </w:rPr>
        <w:t xml:space="preserve">9.5 </w:t>
      </w:r>
      <w:r>
        <w:rPr>
          <w:rFonts w:hint="eastAsia" w:ascii="Times New Roman" w:hAnsi="Times New Roman" w:eastAsia="黑体" w:cs="黑体"/>
          <w:b/>
          <w:bCs w:val="0"/>
          <w:kern w:val="21"/>
          <w:lang w:val="en-US" w:eastAsia="zh-CN"/>
        </w:rPr>
        <w:t xml:space="preserve"> </w:t>
      </w:r>
      <w:r>
        <w:rPr>
          <w:rFonts w:hint="eastAsia" w:ascii="Times New Roman" w:hAnsi="Times New Roman" w:eastAsia="黑体" w:cs="黑体"/>
          <w:b w:val="0"/>
          <w:bCs/>
          <w:kern w:val="21"/>
        </w:rPr>
        <w:t>数据服务与</w:t>
      </w:r>
      <w:r>
        <w:rPr>
          <w:rFonts w:hint="eastAsia" w:ascii="Times New Roman" w:hAnsi="Times New Roman" w:eastAsia="黑体" w:cs="黑体"/>
          <w:b w:val="0"/>
          <w:bCs/>
          <w:kern w:val="21"/>
          <w:lang w:eastAsia="zh-CN"/>
        </w:rPr>
        <w:t>孪生</w:t>
      </w:r>
      <w:r>
        <w:rPr>
          <w:rFonts w:hint="eastAsia" w:ascii="Times New Roman" w:hAnsi="Times New Roman" w:eastAsia="黑体" w:cs="黑体"/>
          <w:b w:val="0"/>
          <w:bCs/>
          <w:kern w:val="21"/>
        </w:rPr>
        <w:t>应用</w:t>
      </w:r>
      <w:bookmarkEnd w:id="84"/>
    </w:p>
    <w:p w14:paraId="1ABFBBC5">
      <w:pPr>
        <w:adjustRightInd/>
        <w:spacing w:line="360" w:lineRule="auto"/>
        <w:ind w:firstLine="420" w:firstLineChars="200"/>
        <w:rPr>
          <w:rFonts w:hint="eastAsia" w:ascii="Times New Roman" w:hAnsi="Times New Roman"/>
          <w:b w:val="0"/>
          <w:bCs/>
          <w:szCs w:val="24"/>
        </w:rPr>
      </w:pPr>
      <w:r>
        <w:rPr>
          <w:rFonts w:hint="eastAsia" w:ascii="Times New Roman" w:hAnsi="Times New Roman"/>
          <w:b w:val="0"/>
          <w:bCs/>
          <w:szCs w:val="24"/>
        </w:rPr>
        <w:t>9.5.1 数据服务</w:t>
      </w:r>
    </w:p>
    <w:p w14:paraId="3361A699">
      <w:pPr>
        <w:adjustRightInd/>
        <w:spacing w:line="360" w:lineRule="auto"/>
        <w:ind w:firstLine="420" w:firstLineChars="200"/>
        <w:rPr>
          <w:rFonts w:hint="eastAsia" w:ascii="Times New Roman" w:hAnsi="Times New Roman" w:eastAsia="宋体"/>
          <w:b w:val="0"/>
          <w:bCs/>
          <w:szCs w:val="24"/>
          <w:lang w:eastAsia="zh-CN"/>
        </w:rPr>
      </w:pPr>
      <w:r>
        <w:rPr>
          <w:rFonts w:hint="eastAsia" w:ascii="Times New Roman" w:hAnsi="Times New Roman"/>
          <w:b w:val="0"/>
          <w:bCs/>
          <w:szCs w:val="24"/>
        </w:rPr>
        <w:t>9.5.1</w:t>
      </w:r>
      <w:r>
        <w:rPr>
          <w:rFonts w:hint="eastAsia" w:ascii="Times New Roman" w:hAnsi="Times New Roman"/>
          <w:b w:val="0"/>
          <w:bCs/>
          <w:szCs w:val="24"/>
          <w:lang w:val="en-US" w:eastAsia="zh-CN"/>
        </w:rPr>
        <w:t>.1</w:t>
      </w:r>
      <w:r>
        <w:rPr>
          <w:rFonts w:hint="eastAsia" w:ascii="Times New Roman" w:hAnsi="Times New Roman"/>
          <w:b w:val="0"/>
          <w:bCs/>
          <w:szCs w:val="24"/>
        </w:rPr>
        <w:t xml:space="preserve"> 应提供统一的标准数据服务接口（API），如基于OGC标准的WMS（地图服务）、WFS（要素服务）、WCS（覆盖范围服务）以及Restful API，支持其他业务系统按需调用数据</w:t>
      </w:r>
      <w:r>
        <w:rPr>
          <w:rFonts w:hint="eastAsia" w:ascii="Times New Roman" w:hAnsi="Times New Roman"/>
          <w:b w:val="0"/>
          <w:bCs/>
          <w:szCs w:val="24"/>
          <w:lang w:eastAsia="zh-CN"/>
        </w:rPr>
        <w:t>。</w:t>
      </w:r>
    </w:p>
    <w:p w14:paraId="289DF0FE">
      <w:pPr>
        <w:adjustRightInd/>
        <w:spacing w:line="360" w:lineRule="auto"/>
        <w:ind w:firstLine="420" w:firstLineChars="200"/>
        <w:rPr>
          <w:rFonts w:hint="eastAsia" w:ascii="Times New Roman" w:hAnsi="Times New Roman"/>
          <w:b w:val="0"/>
          <w:bCs/>
          <w:szCs w:val="24"/>
        </w:rPr>
      </w:pPr>
      <w:r>
        <w:rPr>
          <w:rFonts w:hint="eastAsia" w:ascii="Times New Roman" w:hAnsi="Times New Roman"/>
          <w:b w:val="0"/>
          <w:bCs/>
          <w:szCs w:val="24"/>
        </w:rPr>
        <w:t>9.5.1</w:t>
      </w:r>
      <w:r>
        <w:rPr>
          <w:rFonts w:hint="eastAsia" w:ascii="Times New Roman" w:hAnsi="Times New Roman"/>
          <w:b w:val="0"/>
          <w:bCs/>
          <w:szCs w:val="24"/>
          <w:lang w:val="en-US" w:eastAsia="zh-CN"/>
        </w:rPr>
        <w:t>.2</w:t>
      </w:r>
      <w:r>
        <w:rPr>
          <w:rFonts w:hint="eastAsia" w:ascii="Times New Roman" w:hAnsi="Times New Roman"/>
          <w:b w:val="0"/>
          <w:bCs/>
          <w:szCs w:val="24"/>
        </w:rPr>
        <w:t xml:space="preserve"> 应提供基于Web-GIS的“一张图”可视化服务，实现多维度、多时空尺度的监测数据动态展示与综合查询。</w:t>
      </w:r>
    </w:p>
    <w:p w14:paraId="38053BD1">
      <w:pPr>
        <w:adjustRightInd/>
        <w:spacing w:line="360" w:lineRule="auto"/>
        <w:ind w:firstLine="420" w:firstLineChars="200"/>
        <w:rPr>
          <w:rFonts w:hint="eastAsia" w:ascii="Times New Roman" w:hAnsi="Times New Roman"/>
          <w:b w:val="0"/>
          <w:bCs/>
          <w:szCs w:val="24"/>
        </w:rPr>
      </w:pPr>
      <w:r>
        <w:rPr>
          <w:rFonts w:hint="eastAsia" w:ascii="Times New Roman" w:hAnsi="Times New Roman"/>
          <w:b w:val="0"/>
          <w:bCs/>
          <w:szCs w:val="24"/>
        </w:rPr>
        <w:t xml:space="preserve">9.5.2 </w:t>
      </w:r>
      <w:r>
        <w:rPr>
          <w:rFonts w:hint="eastAsia" w:ascii="Times New Roman" w:hAnsi="Times New Roman"/>
          <w:b w:val="0"/>
          <w:bCs/>
          <w:szCs w:val="24"/>
          <w:lang w:eastAsia="zh-CN"/>
        </w:rPr>
        <w:t>孪生</w:t>
      </w:r>
      <w:r>
        <w:rPr>
          <w:rFonts w:hint="eastAsia" w:ascii="Times New Roman" w:hAnsi="Times New Roman"/>
          <w:b w:val="0"/>
          <w:bCs/>
          <w:szCs w:val="24"/>
        </w:rPr>
        <w:t>应用</w:t>
      </w:r>
    </w:p>
    <w:p w14:paraId="6AB65635">
      <w:pPr>
        <w:adjustRightInd/>
        <w:spacing w:line="360" w:lineRule="auto"/>
        <w:ind w:firstLine="420" w:firstLineChars="200"/>
        <w:rPr>
          <w:rFonts w:hint="eastAsia" w:ascii="Times New Roman" w:hAnsi="Times New Roman"/>
          <w:b w:val="0"/>
          <w:bCs/>
          <w:szCs w:val="24"/>
        </w:rPr>
      </w:pPr>
      <w:r>
        <w:rPr>
          <w:rFonts w:hint="eastAsia" w:ascii="Times New Roman" w:hAnsi="Times New Roman"/>
          <w:b w:val="0"/>
          <w:bCs/>
          <w:szCs w:val="24"/>
        </w:rPr>
        <w:t>基于数字孪生水网的模拟推演与决策支持能力，应支撑以下典型智能应用，包括但不限于：</w:t>
      </w:r>
    </w:p>
    <w:p w14:paraId="60E3B8F1">
      <w:pPr>
        <w:adjustRightInd/>
        <w:spacing w:line="360" w:lineRule="auto"/>
        <w:ind w:firstLine="420" w:firstLineChars="200"/>
        <w:rPr>
          <w:rFonts w:hint="eastAsia" w:ascii="Times New Roman" w:hAnsi="Times New Roman" w:eastAsia="宋体"/>
          <w:b w:val="0"/>
          <w:bCs/>
          <w:szCs w:val="24"/>
          <w:lang w:eastAsia="zh-CN"/>
        </w:rPr>
      </w:pPr>
      <w:r>
        <w:rPr>
          <w:rFonts w:hint="eastAsia" w:ascii="Times New Roman" w:hAnsi="Times New Roman"/>
          <w:b w:val="0"/>
          <w:bCs/>
          <w:szCs w:val="24"/>
        </w:rPr>
        <w:t>a) 水情监测与预报：利用实时数据驱动模型，实现水情动态监视、洪水预报、枯水预警</w:t>
      </w:r>
      <w:r>
        <w:rPr>
          <w:rFonts w:hint="eastAsia" w:ascii="Times New Roman" w:hAnsi="Times New Roman"/>
          <w:b w:val="0"/>
          <w:bCs/>
          <w:szCs w:val="24"/>
          <w:lang w:eastAsia="zh-CN"/>
        </w:rPr>
        <w:t>；</w:t>
      </w:r>
    </w:p>
    <w:p w14:paraId="5E711EDC">
      <w:pPr>
        <w:adjustRightInd/>
        <w:spacing w:line="360" w:lineRule="auto"/>
        <w:ind w:firstLine="420" w:firstLineChars="200"/>
        <w:rPr>
          <w:rFonts w:hint="eastAsia" w:ascii="Times New Roman" w:hAnsi="Times New Roman" w:eastAsia="宋体"/>
          <w:b w:val="0"/>
          <w:bCs/>
          <w:szCs w:val="24"/>
          <w:lang w:eastAsia="zh-CN"/>
        </w:rPr>
      </w:pPr>
      <w:r>
        <w:rPr>
          <w:rFonts w:hint="eastAsia" w:ascii="Times New Roman" w:hAnsi="Times New Roman"/>
          <w:b w:val="0"/>
          <w:bCs/>
          <w:szCs w:val="24"/>
        </w:rPr>
        <w:t>b) 水质评价与预警：实现水质实时评价、水质趋势预测、水污染事件模拟与溯源预警</w:t>
      </w:r>
      <w:r>
        <w:rPr>
          <w:rFonts w:hint="eastAsia" w:ascii="Times New Roman" w:hAnsi="Times New Roman"/>
          <w:b w:val="0"/>
          <w:bCs/>
          <w:szCs w:val="24"/>
          <w:lang w:eastAsia="zh-CN"/>
        </w:rPr>
        <w:t>；</w:t>
      </w:r>
    </w:p>
    <w:p w14:paraId="6A28AD43">
      <w:pPr>
        <w:adjustRightInd/>
        <w:spacing w:line="360" w:lineRule="auto"/>
        <w:ind w:firstLine="420" w:firstLineChars="200"/>
        <w:rPr>
          <w:rFonts w:hint="eastAsia" w:ascii="Times New Roman" w:hAnsi="Times New Roman" w:eastAsia="宋体"/>
          <w:b w:val="0"/>
          <w:bCs/>
          <w:szCs w:val="24"/>
          <w:lang w:eastAsia="zh-CN"/>
        </w:rPr>
      </w:pPr>
      <w:r>
        <w:rPr>
          <w:rFonts w:hint="eastAsia" w:ascii="Times New Roman" w:hAnsi="Times New Roman"/>
          <w:b w:val="0"/>
          <w:bCs/>
          <w:szCs w:val="24"/>
        </w:rPr>
        <w:t>c) 水生态健康评估：基于多源数据对水生态系统的健康状况进行综合评估</w:t>
      </w:r>
      <w:r>
        <w:rPr>
          <w:rFonts w:hint="eastAsia" w:ascii="Times New Roman" w:hAnsi="Times New Roman"/>
          <w:b w:val="0"/>
          <w:bCs/>
          <w:szCs w:val="24"/>
          <w:lang w:val="en-US" w:eastAsia="zh-CN"/>
        </w:rPr>
        <w:t>；</w:t>
      </w:r>
    </w:p>
    <w:p w14:paraId="2AA69259">
      <w:pPr>
        <w:adjustRightInd/>
        <w:spacing w:line="360" w:lineRule="auto"/>
        <w:ind w:firstLine="420" w:firstLineChars="200"/>
        <w:rPr>
          <w:rFonts w:hint="eastAsia" w:ascii="Times New Roman" w:hAnsi="Times New Roman" w:eastAsia="宋体"/>
          <w:b w:val="0"/>
          <w:bCs/>
          <w:szCs w:val="24"/>
          <w:lang w:eastAsia="zh-CN"/>
        </w:rPr>
      </w:pPr>
      <w:r>
        <w:rPr>
          <w:rFonts w:hint="eastAsia" w:ascii="Times New Roman" w:hAnsi="Times New Roman"/>
          <w:b w:val="0"/>
          <w:bCs/>
          <w:szCs w:val="24"/>
        </w:rPr>
        <w:t>d) 智能调度与决策：基于数字孪生水网对不同的调度方案进行模拟仿真与后果评估，为水资源优化配置和工程联合调度提供量化决策支持</w:t>
      </w:r>
      <w:r>
        <w:rPr>
          <w:rFonts w:hint="eastAsia" w:ascii="Times New Roman" w:hAnsi="Times New Roman"/>
          <w:b w:val="0"/>
          <w:bCs/>
          <w:szCs w:val="24"/>
          <w:lang w:val="en-US" w:eastAsia="zh-CN"/>
        </w:rPr>
        <w:t>；</w:t>
      </w:r>
    </w:p>
    <w:p w14:paraId="6C3974FD">
      <w:pPr>
        <w:adjustRightInd/>
        <w:spacing w:line="360" w:lineRule="auto"/>
        <w:ind w:firstLine="420" w:firstLineChars="200"/>
        <w:rPr>
          <w:rFonts w:hint="eastAsia" w:ascii="Times New Roman" w:hAnsi="Times New Roman"/>
          <w:b w:val="0"/>
          <w:bCs/>
          <w:szCs w:val="24"/>
        </w:rPr>
      </w:pPr>
      <w:r>
        <w:rPr>
          <w:rFonts w:hint="eastAsia" w:ascii="Times New Roman" w:hAnsi="Times New Roman"/>
          <w:b w:val="0"/>
          <w:bCs/>
          <w:szCs w:val="24"/>
        </w:rPr>
        <w:t>e) 应急指挥决策：在发生水污染、洪涝等突发事件时，快速进行情景分析、后果模拟和调度方案评估，辅助应急指挥。</w:t>
      </w:r>
    </w:p>
    <w:p w14:paraId="473E4BD5">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val="0"/>
          <w:bCs/>
          <w:kern w:val="21"/>
        </w:rPr>
      </w:pPr>
      <w:bookmarkStart w:id="85" w:name="_Toc2273"/>
      <w:r>
        <w:rPr>
          <w:rFonts w:hint="eastAsia" w:ascii="Times New Roman" w:hAnsi="Times New Roman" w:eastAsia="黑体" w:cs="黑体"/>
          <w:b/>
          <w:bCs w:val="0"/>
          <w:kern w:val="21"/>
        </w:rPr>
        <w:t>9.</w:t>
      </w:r>
      <w:r>
        <w:rPr>
          <w:rFonts w:hint="eastAsia" w:ascii="Times New Roman" w:hAnsi="Times New Roman" w:eastAsia="黑体" w:cs="黑体"/>
          <w:b/>
          <w:bCs w:val="0"/>
          <w:kern w:val="21"/>
          <w:lang w:val="en-US" w:eastAsia="zh-CN"/>
        </w:rPr>
        <w:t>6</w:t>
      </w:r>
      <w:r>
        <w:rPr>
          <w:rFonts w:hint="eastAsia" w:ascii="Times New Roman" w:hAnsi="Times New Roman" w:eastAsia="黑体" w:cs="黑体"/>
          <w:b/>
          <w:bCs w:val="0"/>
          <w:kern w:val="21"/>
        </w:rPr>
        <w:t xml:space="preserve"> </w:t>
      </w:r>
      <w:r>
        <w:rPr>
          <w:rFonts w:hint="eastAsia" w:ascii="Times New Roman" w:hAnsi="Times New Roman" w:eastAsia="黑体" w:cs="黑体"/>
          <w:b/>
          <w:bCs w:val="0"/>
          <w:kern w:val="21"/>
          <w:lang w:val="en-US" w:eastAsia="zh-CN"/>
        </w:rPr>
        <w:t xml:space="preserve"> </w:t>
      </w:r>
      <w:r>
        <w:rPr>
          <w:rFonts w:hint="eastAsia" w:ascii="Times New Roman" w:hAnsi="Times New Roman" w:eastAsia="黑体" w:cs="黑体"/>
          <w:b w:val="0"/>
          <w:bCs/>
          <w:kern w:val="21"/>
        </w:rPr>
        <w:t>数据共享与交换</w:t>
      </w:r>
      <w:bookmarkEnd w:id="85"/>
    </w:p>
    <w:p w14:paraId="7717F6EB">
      <w:pPr>
        <w:adjustRightInd/>
        <w:spacing w:line="360" w:lineRule="auto"/>
        <w:ind w:firstLine="420" w:firstLineChars="200"/>
        <w:rPr>
          <w:rFonts w:hint="eastAsia" w:ascii="Times New Roman" w:hAnsi="Times New Roman"/>
          <w:b w:val="0"/>
          <w:bCs/>
          <w:szCs w:val="24"/>
        </w:rPr>
      </w:pPr>
      <w:r>
        <w:rPr>
          <w:rFonts w:hint="eastAsia" w:ascii="Times New Roman" w:hAnsi="Times New Roman"/>
          <w:b w:val="0"/>
          <w:bCs/>
          <w:szCs w:val="24"/>
        </w:rPr>
        <w:t>9.6.1 应制定统一的数据共享目录与交换策略，明确数据共享的范围、内容、方式和权限。</w:t>
      </w:r>
    </w:p>
    <w:p w14:paraId="39352338">
      <w:pPr>
        <w:adjustRightInd/>
        <w:spacing w:line="360" w:lineRule="auto"/>
        <w:ind w:firstLine="420" w:firstLineChars="200"/>
        <w:rPr>
          <w:rFonts w:hint="eastAsia" w:ascii="Times New Roman" w:hAnsi="Times New Roman"/>
          <w:b w:val="0"/>
          <w:bCs/>
          <w:szCs w:val="24"/>
        </w:rPr>
      </w:pPr>
      <w:r>
        <w:rPr>
          <w:rFonts w:hint="eastAsia" w:ascii="Times New Roman" w:hAnsi="Times New Roman"/>
          <w:b w:val="0"/>
          <w:bCs/>
          <w:szCs w:val="24"/>
        </w:rPr>
        <w:t>9.6.2 应遵循国家和行业相关数据标准，实现与上级、平级及其他相关业务系统间的数据互联互通与共享交换。</w:t>
      </w:r>
    </w:p>
    <w:p w14:paraId="00FCAB00">
      <w:pPr>
        <w:keepNext/>
        <w:keepLines/>
        <w:pageBreakBefore w:val="0"/>
        <w:widowControl w:val="0"/>
        <w:numPr>
          <w:ilvl w:val="0"/>
          <w:numId w:val="32"/>
        </w:numPr>
        <w:kinsoku/>
        <w:wordWrap/>
        <w:overflowPunct/>
        <w:topLinePunct w:val="0"/>
        <w:autoSpaceDE/>
        <w:autoSpaceDN/>
        <w:bidi w:val="0"/>
        <w:adjustRightInd/>
        <w:snapToGrid/>
        <w:spacing w:before="313" w:beforeLines="100" w:after="313" w:afterLines="100" w:line="240" w:lineRule="auto"/>
        <w:ind w:left="363" w:leftChars="0" w:hanging="363" w:firstLineChars="0"/>
        <w:textAlignment w:val="auto"/>
        <w:outlineLvl w:val="0"/>
        <w:rPr>
          <w:rFonts w:hint="eastAsia" w:ascii="Times New Roman" w:hAnsi="Times New Roman" w:eastAsia="黑体"/>
          <w:b/>
          <w:bCs w:val="0"/>
          <w:kern w:val="44"/>
          <w:lang w:val="en-US" w:eastAsia="zh-CN"/>
        </w:rPr>
      </w:pPr>
      <w:bookmarkStart w:id="86" w:name="_Toc21282"/>
      <w:r>
        <w:rPr>
          <w:rFonts w:hint="eastAsia" w:ascii="Times New Roman" w:hAnsi="Times New Roman" w:eastAsia="黑体"/>
          <w:b/>
          <w:bCs w:val="0"/>
          <w:kern w:val="44"/>
          <w:lang w:val="en-US" w:eastAsia="zh-CN"/>
        </w:rPr>
        <w:t>系统运维与安全</w:t>
      </w:r>
      <w:bookmarkEnd w:id="86"/>
    </w:p>
    <w:p w14:paraId="009A1307">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val="0"/>
          <w:kern w:val="21"/>
        </w:rPr>
      </w:pPr>
      <w:bookmarkStart w:id="87" w:name="_Toc7600"/>
      <w:r>
        <w:rPr>
          <w:rFonts w:hint="eastAsia" w:ascii="Times New Roman" w:hAnsi="Times New Roman" w:eastAsia="黑体" w:cs="黑体"/>
          <w:b/>
          <w:bCs w:val="0"/>
          <w:kern w:val="21"/>
        </w:rPr>
        <w:t xml:space="preserve">10.1 </w:t>
      </w:r>
      <w:r>
        <w:rPr>
          <w:rFonts w:hint="eastAsia" w:ascii="Times New Roman" w:hAnsi="Times New Roman" w:eastAsia="黑体" w:cs="黑体"/>
          <w:b/>
          <w:bCs w:val="0"/>
          <w:kern w:val="21"/>
          <w:lang w:val="en-US" w:eastAsia="zh-CN"/>
        </w:rPr>
        <w:t xml:space="preserve"> </w:t>
      </w:r>
      <w:r>
        <w:rPr>
          <w:rFonts w:hint="eastAsia" w:ascii="Times New Roman" w:hAnsi="Times New Roman" w:eastAsia="黑体" w:cs="黑体"/>
          <w:b w:val="0"/>
          <w:bCs/>
          <w:kern w:val="21"/>
        </w:rPr>
        <w:t>一般规定</w:t>
      </w:r>
      <w:bookmarkEnd w:id="87"/>
    </w:p>
    <w:p w14:paraId="1F6AE95E">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10.1.1 应建立系统化、标准化、制度化的运行维护与安全保障体系，确保天空地一体化智能监测系统稳定、可靠、安全运行。</w:t>
      </w:r>
    </w:p>
    <w:p w14:paraId="40D0D1EB">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10.1.2 运维与安全工作应贯彻“预防为主、管理与技术并重”的原则，涵盖基础设施、硬件设备、软件系统、网络和数据等全要素。</w:t>
      </w:r>
    </w:p>
    <w:p w14:paraId="022FAD63">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10.1.3 应明确运维与安全管理的责任部门和岗位，制定完善的规章制度和操作规程。</w:t>
      </w:r>
    </w:p>
    <w:p w14:paraId="4631D905">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val="0"/>
          <w:kern w:val="21"/>
        </w:rPr>
      </w:pPr>
      <w:bookmarkStart w:id="88" w:name="_Toc9924"/>
      <w:r>
        <w:rPr>
          <w:rFonts w:hint="eastAsia" w:ascii="Times New Roman" w:hAnsi="Times New Roman" w:eastAsia="黑体" w:cs="黑体"/>
          <w:b/>
          <w:bCs w:val="0"/>
          <w:kern w:val="21"/>
        </w:rPr>
        <w:t xml:space="preserve">10.2 </w:t>
      </w:r>
      <w:r>
        <w:rPr>
          <w:rFonts w:hint="eastAsia" w:ascii="Times New Roman" w:hAnsi="Times New Roman" w:eastAsia="黑体" w:cs="黑体"/>
          <w:b/>
          <w:bCs w:val="0"/>
          <w:kern w:val="21"/>
          <w:lang w:val="en-US" w:eastAsia="zh-CN"/>
        </w:rPr>
        <w:t xml:space="preserve"> </w:t>
      </w:r>
      <w:r>
        <w:rPr>
          <w:rFonts w:hint="eastAsia" w:ascii="Times New Roman" w:hAnsi="Times New Roman" w:eastAsia="黑体" w:cs="黑体"/>
          <w:b w:val="0"/>
          <w:bCs/>
          <w:kern w:val="21"/>
        </w:rPr>
        <w:t>安全管理要求</w:t>
      </w:r>
      <w:bookmarkEnd w:id="88"/>
    </w:p>
    <w:p w14:paraId="46D0B2E4">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10.2.1</w:t>
      </w:r>
      <w:r>
        <w:rPr>
          <w:rFonts w:hint="eastAsia" w:ascii="Times New Roman" w:hAnsi="Times New Roman"/>
          <w:szCs w:val="24"/>
          <w:lang w:val="en-US" w:eastAsia="zh-CN"/>
        </w:rPr>
        <w:t xml:space="preserve"> </w:t>
      </w:r>
      <w:r>
        <w:rPr>
          <w:rFonts w:hint="eastAsia" w:ascii="Times New Roman" w:hAnsi="Times New Roman"/>
          <w:szCs w:val="24"/>
        </w:rPr>
        <w:t>物理安全</w:t>
      </w:r>
    </w:p>
    <w:p w14:paraId="7052132C">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rPr>
        <w:t>10.2.1</w:t>
      </w:r>
      <w:r>
        <w:rPr>
          <w:rFonts w:hint="eastAsia" w:ascii="Times New Roman" w:hAnsi="Times New Roman"/>
          <w:szCs w:val="24"/>
          <w:lang w:val="en-US" w:eastAsia="zh-CN"/>
        </w:rPr>
        <w:t>.1</w:t>
      </w:r>
      <w:r>
        <w:rPr>
          <w:rFonts w:hint="eastAsia" w:ascii="Times New Roman" w:hAnsi="Times New Roman"/>
          <w:szCs w:val="24"/>
        </w:rPr>
        <w:t xml:space="preserve"> 重要的数据中心机房、监控中心应设置访问控制、视频监控和入侵报警系统，严禁未经授权的人员进入</w:t>
      </w:r>
      <w:r>
        <w:rPr>
          <w:rFonts w:hint="eastAsia" w:ascii="Times New Roman" w:hAnsi="Times New Roman"/>
          <w:szCs w:val="24"/>
          <w:lang w:eastAsia="zh-CN"/>
        </w:rPr>
        <w:t>。</w:t>
      </w:r>
    </w:p>
    <w:p w14:paraId="78B994D7">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rPr>
        <w:t>10.2.1</w:t>
      </w:r>
      <w:r>
        <w:rPr>
          <w:rFonts w:hint="eastAsia" w:ascii="Times New Roman" w:hAnsi="Times New Roman"/>
          <w:szCs w:val="24"/>
          <w:lang w:val="en-US" w:eastAsia="zh-CN"/>
        </w:rPr>
        <w:t>.2</w:t>
      </w:r>
      <w:r>
        <w:rPr>
          <w:rFonts w:hint="eastAsia" w:ascii="Times New Roman" w:hAnsi="Times New Roman"/>
          <w:szCs w:val="24"/>
        </w:rPr>
        <w:t xml:space="preserve"> 野外监测站点应采取防盗、防破坏措施（如安装于坚固立杆、加装防护箱体、设置警示标识）</w:t>
      </w:r>
      <w:r>
        <w:rPr>
          <w:rFonts w:hint="eastAsia" w:ascii="Times New Roman" w:hAnsi="Times New Roman"/>
          <w:szCs w:val="24"/>
          <w:lang w:eastAsia="zh-CN"/>
        </w:rPr>
        <w:t>。</w:t>
      </w:r>
    </w:p>
    <w:p w14:paraId="24F908D5">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10.2.1</w:t>
      </w:r>
      <w:r>
        <w:rPr>
          <w:rFonts w:hint="eastAsia" w:ascii="Times New Roman" w:hAnsi="Times New Roman"/>
          <w:szCs w:val="24"/>
          <w:lang w:val="en-US" w:eastAsia="zh-CN"/>
        </w:rPr>
        <w:t>.3</w:t>
      </w:r>
      <w:r>
        <w:rPr>
          <w:rFonts w:hint="eastAsia" w:ascii="Times New Roman" w:hAnsi="Times New Roman"/>
          <w:szCs w:val="24"/>
        </w:rPr>
        <w:t xml:space="preserve"> 应保障关键设备和线路的电力供应，配备不同断电源（UPS）和/或备用发电机。</w:t>
      </w:r>
    </w:p>
    <w:p w14:paraId="6D9307F8">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10.2.2 网络安全</w:t>
      </w:r>
    </w:p>
    <w:p w14:paraId="12892CBA">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rPr>
        <w:t>10.2.2</w:t>
      </w:r>
      <w:r>
        <w:rPr>
          <w:rFonts w:hint="eastAsia" w:ascii="Times New Roman" w:hAnsi="Times New Roman"/>
          <w:szCs w:val="24"/>
          <w:lang w:val="en-US" w:eastAsia="zh-CN"/>
        </w:rPr>
        <w:t>.1</w:t>
      </w:r>
      <w:r>
        <w:rPr>
          <w:rFonts w:hint="eastAsia" w:ascii="Times New Roman" w:hAnsi="Times New Roman"/>
          <w:szCs w:val="24"/>
        </w:rPr>
        <w:t xml:space="preserve"> 应按照“安全分区、网络专用、横向隔离、纵向认证”的原则划分安全区域（如管理信息区、生产控制区），并在区域间部署防火墙、网闸等隔离设备</w:t>
      </w:r>
      <w:r>
        <w:rPr>
          <w:rFonts w:hint="eastAsia" w:ascii="Times New Roman" w:hAnsi="Times New Roman"/>
          <w:szCs w:val="24"/>
          <w:lang w:eastAsia="zh-CN"/>
        </w:rPr>
        <w:t>。</w:t>
      </w:r>
    </w:p>
    <w:p w14:paraId="3231D8BD">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rPr>
        <w:t>10.2.2</w:t>
      </w:r>
      <w:r>
        <w:rPr>
          <w:rFonts w:hint="eastAsia" w:ascii="Times New Roman" w:hAnsi="Times New Roman"/>
          <w:szCs w:val="24"/>
          <w:lang w:val="en-US" w:eastAsia="zh-CN"/>
        </w:rPr>
        <w:t>.2</w:t>
      </w:r>
      <w:r>
        <w:rPr>
          <w:rFonts w:hint="eastAsia" w:ascii="Times New Roman" w:hAnsi="Times New Roman"/>
          <w:szCs w:val="24"/>
        </w:rPr>
        <w:t xml:space="preserve"> 对无线通信链路（如4G/5G、卫星）传输的数据应进行加密</w:t>
      </w:r>
      <w:r>
        <w:rPr>
          <w:rFonts w:hint="eastAsia" w:ascii="Times New Roman" w:hAnsi="Times New Roman"/>
          <w:szCs w:val="24"/>
          <w:lang w:eastAsia="zh-CN"/>
        </w:rPr>
        <w:t>，无线局域网的建设宜符合IEEE 802.11系列标准的安全要求。</w:t>
      </w:r>
    </w:p>
    <w:p w14:paraId="764BB2BD">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rPr>
        <w:t>10.2.2</w:t>
      </w:r>
      <w:r>
        <w:rPr>
          <w:rFonts w:hint="eastAsia" w:ascii="Times New Roman" w:hAnsi="Times New Roman"/>
          <w:szCs w:val="24"/>
          <w:lang w:val="en-US" w:eastAsia="zh-CN"/>
        </w:rPr>
        <w:t>.3</w:t>
      </w:r>
      <w:r>
        <w:rPr>
          <w:rFonts w:hint="eastAsia" w:ascii="Times New Roman" w:hAnsi="Times New Roman"/>
          <w:szCs w:val="24"/>
        </w:rPr>
        <w:t xml:space="preserve"> 应部署入侵检测/防御系统（IDS/IPS）、网络安全审计系统，定期进行漏洞扫描和安全风险评估</w:t>
      </w:r>
      <w:r>
        <w:rPr>
          <w:rFonts w:hint="eastAsia" w:ascii="Times New Roman" w:hAnsi="Times New Roman"/>
          <w:szCs w:val="24"/>
          <w:lang w:eastAsia="zh-CN"/>
        </w:rPr>
        <w:t>。</w:t>
      </w:r>
    </w:p>
    <w:p w14:paraId="3A89CD21">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10.2.2</w:t>
      </w:r>
      <w:r>
        <w:rPr>
          <w:rFonts w:hint="eastAsia" w:ascii="Times New Roman" w:hAnsi="Times New Roman"/>
          <w:szCs w:val="24"/>
          <w:lang w:val="en-US" w:eastAsia="zh-CN"/>
        </w:rPr>
        <w:t>.4</w:t>
      </w:r>
      <w:r>
        <w:rPr>
          <w:rFonts w:hint="eastAsia" w:ascii="Times New Roman" w:hAnsi="Times New Roman"/>
          <w:szCs w:val="24"/>
        </w:rPr>
        <w:t xml:space="preserve"> 应建立网络访问控制策略，禁止未经授权的设备接入网络。</w:t>
      </w:r>
    </w:p>
    <w:p w14:paraId="79821C87">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10.2.3 数据与模型安全</w:t>
      </w:r>
    </w:p>
    <w:p w14:paraId="23F334BC">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rPr>
        <w:t>10.2.3</w:t>
      </w:r>
      <w:r>
        <w:rPr>
          <w:rFonts w:hint="eastAsia" w:ascii="Times New Roman" w:hAnsi="Times New Roman"/>
          <w:szCs w:val="24"/>
          <w:lang w:val="en-US" w:eastAsia="zh-CN"/>
        </w:rPr>
        <w:t>.1</w:t>
      </w:r>
      <w:r>
        <w:rPr>
          <w:rFonts w:hint="eastAsia" w:ascii="Times New Roman" w:hAnsi="Times New Roman"/>
          <w:szCs w:val="24"/>
        </w:rPr>
        <w:t xml:space="preserve"> 应对敏感监测数据、用户个人信息等在传输和存储过程中进行加密处理</w:t>
      </w:r>
      <w:r>
        <w:rPr>
          <w:rFonts w:hint="eastAsia" w:ascii="Times New Roman" w:hAnsi="Times New Roman"/>
          <w:szCs w:val="24"/>
          <w:lang w:eastAsia="zh-CN"/>
        </w:rPr>
        <w:t>。</w:t>
      </w:r>
    </w:p>
    <w:p w14:paraId="160310B0">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rPr>
        <w:t>10.2.3</w:t>
      </w:r>
      <w:r>
        <w:rPr>
          <w:rFonts w:hint="eastAsia" w:ascii="Times New Roman" w:hAnsi="Times New Roman"/>
          <w:szCs w:val="24"/>
          <w:lang w:val="en-US" w:eastAsia="zh-CN"/>
        </w:rPr>
        <w:t>.2</w:t>
      </w:r>
      <w:r>
        <w:rPr>
          <w:rFonts w:hint="eastAsia" w:ascii="Times New Roman" w:hAnsi="Times New Roman"/>
          <w:szCs w:val="24"/>
        </w:rPr>
        <w:t xml:space="preserve"> 应建立严格的数据访问权限控制机制，遵循最小权限原则，确保数据不被未授权访问、篡改或泄露</w:t>
      </w:r>
      <w:r>
        <w:rPr>
          <w:rFonts w:hint="eastAsia" w:ascii="Times New Roman" w:hAnsi="Times New Roman"/>
          <w:szCs w:val="24"/>
          <w:lang w:eastAsia="zh-CN"/>
        </w:rPr>
        <w:t>。</w:t>
      </w:r>
    </w:p>
    <w:p w14:paraId="169FB534">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10.2.3</w:t>
      </w:r>
      <w:r>
        <w:rPr>
          <w:rFonts w:hint="eastAsia" w:ascii="Times New Roman" w:hAnsi="Times New Roman"/>
          <w:szCs w:val="24"/>
          <w:lang w:val="en-US" w:eastAsia="zh-CN"/>
        </w:rPr>
        <w:t>.3</w:t>
      </w:r>
      <w:r>
        <w:rPr>
          <w:rFonts w:hint="eastAsia" w:ascii="Times New Roman" w:hAnsi="Times New Roman"/>
          <w:szCs w:val="24"/>
        </w:rPr>
        <w:t xml:space="preserve"> 应建立可靠的数据备份与灾难恢复机制。重要数据应实行异地、异质备份，定期进行恢复演练，确保业务连续性。</w:t>
      </w:r>
    </w:p>
    <w:p w14:paraId="392F6907">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rPr>
        <w:t>10.2.3</w:t>
      </w:r>
      <w:r>
        <w:rPr>
          <w:rFonts w:hint="eastAsia" w:ascii="Times New Roman" w:hAnsi="Times New Roman"/>
          <w:szCs w:val="24"/>
          <w:lang w:val="en-US" w:eastAsia="zh-CN"/>
        </w:rPr>
        <w:t>.4</w:t>
      </w:r>
      <w:r>
        <w:rPr>
          <w:rFonts w:hint="eastAsia" w:ascii="Times New Roman" w:hAnsi="Times New Roman"/>
          <w:szCs w:val="24"/>
        </w:rPr>
        <w:t xml:space="preserve"> 应加强对数字孪生水网中核心算法、仿真模型、专业模型等数字资产的安全保护，防止核心知识产权泄露和恶意篡改</w:t>
      </w:r>
      <w:r>
        <w:rPr>
          <w:rFonts w:hint="eastAsia" w:ascii="Times New Roman" w:hAnsi="Times New Roman"/>
          <w:szCs w:val="24"/>
          <w:lang w:eastAsia="zh-CN"/>
        </w:rPr>
        <w:t>。</w:t>
      </w:r>
    </w:p>
    <w:p w14:paraId="65289ACF">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10.2.4 应用安全</w:t>
      </w:r>
    </w:p>
    <w:p w14:paraId="7188D396">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rPr>
        <w:t>10.2.4</w:t>
      </w:r>
      <w:r>
        <w:rPr>
          <w:rFonts w:hint="eastAsia" w:ascii="Times New Roman" w:hAnsi="Times New Roman"/>
          <w:szCs w:val="24"/>
          <w:lang w:val="en-US" w:eastAsia="zh-CN"/>
        </w:rPr>
        <w:t>.1</w:t>
      </w:r>
      <w:r>
        <w:rPr>
          <w:rFonts w:hint="eastAsia" w:ascii="Times New Roman" w:hAnsi="Times New Roman"/>
          <w:szCs w:val="24"/>
        </w:rPr>
        <w:t xml:space="preserve"> 应对系统用户进行身份认证和权限管理，强制使用高强度口令并定期更换</w:t>
      </w:r>
      <w:r>
        <w:rPr>
          <w:rFonts w:hint="eastAsia" w:ascii="Times New Roman" w:hAnsi="Times New Roman"/>
          <w:szCs w:val="24"/>
          <w:lang w:eastAsia="zh-CN"/>
        </w:rPr>
        <w:t>。</w:t>
      </w:r>
    </w:p>
    <w:p w14:paraId="4FB8AAEB">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rPr>
        <w:t>10.2.4</w:t>
      </w:r>
      <w:r>
        <w:rPr>
          <w:rFonts w:hint="eastAsia" w:ascii="Times New Roman" w:hAnsi="Times New Roman"/>
          <w:szCs w:val="24"/>
          <w:lang w:val="en-US" w:eastAsia="zh-CN"/>
        </w:rPr>
        <w:t>.2</w:t>
      </w:r>
      <w:r>
        <w:rPr>
          <w:rFonts w:hint="eastAsia" w:ascii="Times New Roman" w:hAnsi="Times New Roman"/>
          <w:szCs w:val="24"/>
        </w:rPr>
        <w:t xml:space="preserve"> 应提供操作日志审计功能，记录所有用户的重要操作，并定期进行审计分析</w:t>
      </w:r>
      <w:r>
        <w:rPr>
          <w:rFonts w:hint="eastAsia" w:ascii="Times New Roman" w:hAnsi="Times New Roman"/>
          <w:szCs w:val="24"/>
          <w:lang w:eastAsia="zh-CN"/>
        </w:rPr>
        <w:t>。</w:t>
      </w:r>
    </w:p>
    <w:p w14:paraId="42A56382">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10.2.4</w:t>
      </w:r>
      <w:r>
        <w:rPr>
          <w:rFonts w:hint="eastAsia" w:ascii="Times New Roman" w:hAnsi="Times New Roman"/>
          <w:szCs w:val="24"/>
          <w:lang w:val="en-US" w:eastAsia="zh-CN"/>
        </w:rPr>
        <w:t>.3</w:t>
      </w:r>
      <w:r>
        <w:rPr>
          <w:rFonts w:hint="eastAsia" w:ascii="Times New Roman" w:hAnsi="Times New Roman"/>
          <w:szCs w:val="24"/>
        </w:rPr>
        <w:t xml:space="preserve"> 软件系统开发应遵循安全编码规范，上线前应进行安全测试。</w:t>
      </w:r>
    </w:p>
    <w:p w14:paraId="6AB00CEF">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val="0"/>
          <w:kern w:val="21"/>
        </w:rPr>
      </w:pPr>
      <w:bookmarkStart w:id="89" w:name="_Toc25412"/>
      <w:r>
        <w:rPr>
          <w:rFonts w:hint="eastAsia" w:ascii="Times New Roman" w:hAnsi="Times New Roman" w:eastAsia="黑体" w:cs="黑体"/>
          <w:b/>
          <w:bCs w:val="0"/>
          <w:kern w:val="21"/>
        </w:rPr>
        <w:t>10.</w:t>
      </w:r>
      <w:r>
        <w:rPr>
          <w:rFonts w:hint="eastAsia" w:ascii="Times New Roman" w:hAnsi="Times New Roman" w:eastAsia="黑体" w:cs="黑体"/>
          <w:b/>
          <w:bCs w:val="0"/>
          <w:kern w:val="21"/>
          <w:lang w:val="en-US" w:eastAsia="zh-CN"/>
        </w:rPr>
        <w:t>3</w:t>
      </w:r>
      <w:r>
        <w:rPr>
          <w:rFonts w:hint="eastAsia" w:ascii="Times New Roman" w:hAnsi="Times New Roman" w:eastAsia="黑体" w:cs="黑体"/>
          <w:b/>
          <w:bCs w:val="0"/>
          <w:kern w:val="21"/>
        </w:rPr>
        <w:t xml:space="preserve"> </w:t>
      </w:r>
      <w:r>
        <w:rPr>
          <w:rFonts w:hint="eastAsia" w:ascii="Times New Roman" w:hAnsi="Times New Roman" w:eastAsia="黑体" w:cs="黑体"/>
          <w:b/>
          <w:bCs w:val="0"/>
          <w:kern w:val="21"/>
          <w:lang w:val="en-US" w:eastAsia="zh-CN"/>
        </w:rPr>
        <w:t xml:space="preserve"> </w:t>
      </w:r>
      <w:r>
        <w:rPr>
          <w:rFonts w:hint="eastAsia" w:ascii="Times New Roman" w:hAnsi="Times New Roman" w:eastAsia="黑体" w:cs="黑体"/>
          <w:b w:val="0"/>
          <w:bCs/>
          <w:kern w:val="21"/>
        </w:rPr>
        <w:t>运维管理要求</w:t>
      </w:r>
      <w:bookmarkEnd w:id="89"/>
    </w:p>
    <w:p w14:paraId="35386FD1">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10.3.1 运维制度与流程</w:t>
      </w:r>
    </w:p>
    <w:p w14:paraId="0EDB426E">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rPr>
        <w:t>10.3.1</w:t>
      </w:r>
      <w:r>
        <w:rPr>
          <w:rFonts w:hint="eastAsia" w:ascii="Times New Roman" w:hAnsi="Times New Roman"/>
          <w:szCs w:val="24"/>
          <w:lang w:val="en-US" w:eastAsia="zh-CN"/>
        </w:rPr>
        <w:t>.1</w:t>
      </w:r>
      <w:r>
        <w:rPr>
          <w:rFonts w:hint="eastAsia" w:ascii="Times New Roman" w:hAnsi="Times New Roman"/>
          <w:szCs w:val="24"/>
        </w:rPr>
        <w:t xml:space="preserve"> 应制定包括日常巡检、定期维护、故障处理、变更管理、配置管理、档案管理等在内的全套运维管理制度和操作规程</w:t>
      </w:r>
      <w:r>
        <w:rPr>
          <w:rFonts w:hint="eastAsia" w:ascii="Times New Roman" w:hAnsi="Times New Roman"/>
          <w:szCs w:val="24"/>
          <w:lang w:eastAsia="zh-CN"/>
        </w:rPr>
        <w:t>。</w:t>
      </w:r>
    </w:p>
    <w:p w14:paraId="398B7C8D">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10.3.1</w:t>
      </w:r>
      <w:r>
        <w:rPr>
          <w:rFonts w:hint="eastAsia" w:ascii="Times New Roman" w:hAnsi="Times New Roman"/>
          <w:szCs w:val="24"/>
          <w:lang w:val="en-US" w:eastAsia="zh-CN"/>
        </w:rPr>
        <w:t>.2</w:t>
      </w:r>
      <w:r>
        <w:rPr>
          <w:rFonts w:hint="eastAsia" w:ascii="Times New Roman" w:hAnsi="Times New Roman"/>
          <w:szCs w:val="24"/>
        </w:rPr>
        <w:t xml:space="preserve"> 应建立完善的运维台账，详细记录设备信息、维护记录、故障处理过程、软件版本变更等。</w:t>
      </w:r>
    </w:p>
    <w:p w14:paraId="6FD68700">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10.3.2 日常巡检</w:t>
      </w:r>
    </w:p>
    <w:p w14:paraId="67E6BE5B">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rPr>
        <w:t>10.3.2</w:t>
      </w:r>
      <w:r>
        <w:rPr>
          <w:rFonts w:hint="eastAsia" w:ascii="Times New Roman" w:hAnsi="Times New Roman"/>
          <w:szCs w:val="24"/>
          <w:lang w:val="en-US" w:eastAsia="zh-CN"/>
        </w:rPr>
        <w:t>.1</w:t>
      </w:r>
      <w:r>
        <w:rPr>
          <w:rFonts w:hint="eastAsia" w:ascii="Times New Roman" w:hAnsi="Times New Roman"/>
          <w:szCs w:val="24"/>
        </w:rPr>
        <w:t xml:space="preserve"> 应通过运维监控平台对系统整体运行状态（如服务器性能、网络流量、数据接收状况、设备在线率）进行7×24</w:t>
      </w:r>
      <w:r>
        <w:rPr>
          <w:rFonts w:hint="eastAsia" w:ascii="Times New Roman" w:hAnsi="Times New Roman"/>
          <w:szCs w:val="24"/>
          <w:lang w:eastAsia="zh-CN"/>
        </w:rPr>
        <w:t>h</w:t>
      </w:r>
      <w:r>
        <w:rPr>
          <w:rFonts w:hint="eastAsia" w:ascii="Times New Roman" w:hAnsi="Times New Roman"/>
          <w:szCs w:val="24"/>
        </w:rPr>
        <w:t>自动监控和告警</w:t>
      </w:r>
      <w:r>
        <w:rPr>
          <w:rFonts w:hint="eastAsia" w:ascii="Times New Roman" w:hAnsi="Times New Roman"/>
          <w:szCs w:val="24"/>
          <w:lang w:eastAsia="zh-CN"/>
        </w:rPr>
        <w:t>。</w:t>
      </w:r>
    </w:p>
    <w:p w14:paraId="373D3720">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10.3.2</w:t>
      </w:r>
      <w:r>
        <w:rPr>
          <w:rFonts w:hint="eastAsia" w:ascii="Times New Roman" w:hAnsi="Times New Roman"/>
          <w:szCs w:val="24"/>
          <w:lang w:val="en-US" w:eastAsia="zh-CN"/>
        </w:rPr>
        <w:t>.2</w:t>
      </w:r>
      <w:r>
        <w:rPr>
          <w:rFonts w:hint="eastAsia" w:ascii="Times New Roman" w:hAnsi="Times New Roman"/>
          <w:szCs w:val="24"/>
        </w:rPr>
        <w:t xml:space="preserve"> 应定期对中心机房环境（温湿度、消防、供电）进行现场巡检。</w:t>
      </w:r>
    </w:p>
    <w:p w14:paraId="2C958231">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10.3.3 定期维护</w:t>
      </w:r>
    </w:p>
    <w:p w14:paraId="48481B05">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rPr>
        <w:t>10.3.3</w:t>
      </w:r>
      <w:r>
        <w:rPr>
          <w:rFonts w:hint="eastAsia" w:ascii="Times New Roman" w:hAnsi="Times New Roman"/>
          <w:szCs w:val="24"/>
          <w:lang w:val="en-US" w:eastAsia="zh-CN"/>
        </w:rPr>
        <w:t>.1</w:t>
      </w:r>
      <w:r>
        <w:rPr>
          <w:rFonts w:hint="eastAsia" w:ascii="Times New Roman" w:hAnsi="Times New Roman"/>
          <w:szCs w:val="24"/>
        </w:rPr>
        <w:t xml:space="preserve"> 地面监测站：应制定维护计划，定期进行传感器清洗/校准、试剂更换、蓄电池检查、通信测试、站房清理等现场维护作业</w:t>
      </w:r>
      <w:r>
        <w:rPr>
          <w:rFonts w:hint="eastAsia" w:ascii="Times New Roman" w:hAnsi="Times New Roman"/>
          <w:szCs w:val="24"/>
          <w:lang w:eastAsia="zh-CN"/>
        </w:rPr>
        <w:t>。</w:t>
      </w:r>
    </w:p>
    <w:p w14:paraId="0BA3C451">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rPr>
        <w:t>10.3.3</w:t>
      </w:r>
      <w:r>
        <w:rPr>
          <w:rFonts w:hint="eastAsia" w:ascii="Times New Roman" w:hAnsi="Times New Roman"/>
          <w:szCs w:val="24"/>
          <w:lang w:val="en-US" w:eastAsia="zh-CN"/>
        </w:rPr>
        <w:t>.2</w:t>
      </w:r>
      <w:r>
        <w:rPr>
          <w:rFonts w:hint="eastAsia" w:ascii="Times New Roman" w:hAnsi="Times New Roman"/>
          <w:szCs w:val="24"/>
        </w:rPr>
        <w:t xml:space="preserve"> 空基设备：应定期对无人机平台、载荷设备进行保养、调试和性能检测</w:t>
      </w:r>
      <w:r>
        <w:rPr>
          <w:rFonts w:hint="eastAsia" w:ascii="Times New Roman" w:hAnsi="Times New Roman"/>
          <w:szCs w:val="24"/>
          <w:lang w:eastAsia="zh-CN"/>
        </w:rPr>
        <w:t>。</w:t>
      </w:r>
    </w:p>
    <w:p w14:paraId="3474F642">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10.3.3</w:t>
      </w:r>
      <w:r>
        <w:rPr>
          <w:rFonts w:hint="eastAsia" w:ascii="Times New Roman" w:hAnsi="Times New Roman"/>
          <w:szCs w:val="24"/>
          <w:lang w:val="en-US" w:eastAsia="zh-CN"/>
        </w:rPr>
        <w:t>.3</w:t>
      </w:r>
      <w:r>
        <w:rPr>
          <w:rFonts w:hint="eastAsia" w:ascii="Times New Roman" w:hAnsi="Times New Roman"/>
          <w:szCs w:val="24"/>
        </w:rPr>
        <w:t xml:space="preserve"> 软件与平台：应定期进行系统漏洞修补、病毒库更新、数据备份、日志清理等工作。</w:t>
      </w:r>
    </w:p>
    <w:p w14:paraId="02C96226">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10.3.4 故障处理</w:t>
      </w:r>
    </w:p>
    <w:p w14:paraId="51330A13">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rPr>
        <w:t>10.3.4</w:t>
      </w:r>
      <w:r>
        <w:rPr>
          <w:rFonts w:hint="eastAsia" w:ascii="Times New Roman" w:hAnsi="Times New Roman"/>
          <w:szCs w:val="24"/>
          <w:lang w:val="en-US" w:eastAsia="zh-CN"/>
        </w:rPr>
        <w:t>.1</w:t>
      </w:r>
      <w:r>
        <w:rPr>
          <w:rFonts w:hint="eastAsia" w:ascii="Times New Roman" w:hAnsi="Times New Roman"/>
          <w:szCs w:val="24"/>
        </w:rPr>
        <w:t xml:space="preserve"> 应建立分级故障响应机制，明确不同级别故障的响应时限和处理流程</w:t>
      </w:r>
      <w:r>
        <w:rPr>
          <w:rFonts w:hint="eastAsia" w:ascii="Times New Roman" w:hAnsi="Times New Roman"/>
          <w:szCs w:val="24"/>
          <w:lang w:eastAsia="zh-CN"/>
        </w:rPr>
        <w:t>。</w:t>
      </w:r>
    </w:p>
    <w:p w14:paraId="2BB7C07D">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10.3.4</w:t>
      </w:r>
      <w:r>
        <w:rPr>
          <w:rFonts w:hint="eastAsia" w:ascii="Times New Roman" w:hAnsi="Times New Roman"/>
          <w:szCs w:val="24"/>
          <w:lang w:val="en-US" w:eastAsia="zh-CN"/>
        </w:rPr>
        <w:t>.2</w:t>
      </w:r>
      <w:r>
        <w:rPr>
          <w:rFonts w:hint="eastAsia" w:ascii="Times New Roman" w:hAnsi="Times New Roman"/>
          <w:szCs w:val="24"/>
        </w:rPr>
        <w:t xml:space="preserve"> 故障处理应遵循“发现-报告-定位-处理-验证-记录”的闭环管理流程。</w:t>
      </w:r>
    </w:p>
    <w:p w14:paraId="4CEBC2F0">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10.3.5 性能优化与系统升级：</w:t>
      </w:r>
    </w:p>
    <w:p w14:paraId="3F310A7A">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rPr>
        <w:t>10.3.5</w:t>
      </w:r>
      <w:r>
        <w:rPr>
          <w:rFonts w:hint="eastAsia" w:ascii="Times New Roman" w:hAnsi="Times New Roman"/>
          <w:szCs w:val="24"/>
          <w:lang w:val="en-US" w:eastAsia="zh-CN"/>
        </w:rPr>
        <w:t>.1</w:t>
      </w:r>
      <w:r>
        <w:rPr>
          <w:rFonts w:hint="eastAsia" w:ascii="Times New Roman" w:hAnsi="Times New Roman"/>
          <w:szCs w:val="24"/>
        </w:rPr>
        <w:t xml:space="preserve"> 应定期对系统性能进行评估，根据业务增长和技术发展需求，对硬件资源、软件功能、网络带宽等进行优化和升级</w:t>
      </w:r>
      <w:r>
        <w:rPr>
          <w:rFonts w:hint="eastAsia" w:ascii="Times New Roman" w:hAnsi="Times New Roman"/>
          <w:szCs w:val="24"/>
          <w:lang w:eastAsia="zh-CN"/>
        </w:rPr>
        <w:t>。</w:t>
      </w:r>
    </w:p>
    <w:p w14:paraId="3776DFD3">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10.3.5</w:t>
      </w:r>
      <w:r>
        <w:rPr>
          <w:rFonts w:hint="eastAsia" w:ascii="Times New Roman" w:hAnsi="Times New Roman"/>
          <w:szCs w:val="24"/>
          <w:lang w:val="en-US" w:eastAsia="zh-CN"/>
        </w:rPr>
        <w:t>.2</w:t>
      </w:r>
      <w:r>
        <w:rPr>
          <w:rFonts w:hint="eastAsia" w:ascii="Times New Roman" w:hAnsi="Times New Roman"/>
          <w:szCs w:val="24"/>
        </w:rPr>
        <w:t xml:space="preserve"> 系统重大升级或改造前应进行充分测试和论证，制定详细的实施方案和回退预案。</w:t>
      </w:r>
    </w:p>
    <w:p w14:paraId="39AC9A07">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val="0"/>
          <w:kern w:val="21"/>
        </w:rPr>
      </w:pPr>
      <w:bookmarkStart w:id="90" w:name="_Toc12478"/>
      <w:r>
        <w:rPr>
          <w:rFonts w:hint="eastAsia" w:ascii="Times New Roman" w:hAnsi="Times New Roman" w:eastAsia="黑体" w:cs="黑体"/>
          <w:b/>
          <w:bCs w:val="0"/>
          <w:kern w:val="21"/>
        </w:rPr>
        <w:t>10.</w:t>
      </w:r>
      <w:r>
        <w:rPr>
          <w:rFonts w:hint="eastAsia" w:ascii="Times New Roman" w:hAnsi="Times New Roman" w:eastAsia="黑体" w:cs="黑体"/>
          <w:b/>
          <w:bCs w:val="0"/>
          <w:kern w:val="21"/>
          <w:lang w:val="en-US" w:eastAsia="zh-CN"/>
        </w:rPr>
        <w:t>4</w:t>
      </w:r>
      <w:r>
        <w:rPr>
          <w:rFonts w:hint="eastAsia" w:ascii="Times New Roman" w:hAnsi="Times New Roman" w:eastAsia="黑体" w:cs="黑体"/>
          <w:b/>
          <w:bCs w:val="0"/>
          <w:kern w:val="21"/>
        </w:rPr>
        <w:t xml:space="preserve"> </w:t>
      </w:r>
      <w:r>
        <w:rPr>
          <w:rFonts w:hint="eastAsia" w:ascii="Times New Roman" w:hAnsi="Times New Roman" w:eastAsia="黑体" w:cs="黑体"/>
          <w:b/>
          <w:bCs w:val="0"/>
          <w:kern w:val="21"/>
          <w:lang w:val="en-US" w:eastAsia="zh-CN"/>
        </w:rPr>
        <w:t xml:space="preserve"> </w:t>
      </w:r>
      <w:r>
        <w:rPr>
          <w:rFonts w:hint="eastAsia" w:ascii="Times New Roman" w:hAnsi="Times New Roman" w:eastAsia="黑体" w:cs="黑体"/>
          <w:b w:val="0"/>
          <w:bCs/>
          <w:kern w:val="21"/>
        </w:rPr>
        <w:t>应急管理</w:t>
      </w:r>
      <w:bookmarkEnd w:id="90"/>
    </w:p>
    <w:p w14:paraId="799DB58F">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10.4.1 应针对网络安全事件（如黑客攻击、病毒爆发）、设备重大故障、自然灾害（如洪水、雷电、地震）等可能导致系统瘫痪的突发事件，制定专项应急预案。</w:t>
      </w:r>
    </w:p>
    <w:p w14:paraId="7BDF9D7F">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10.4.2 应急预案应明确组织指挥体系、应急流程、处置措施、资源保障和恢复目标（RTO、RPO）。</w:t>
      </w:r>
    </w:p>
    <w:p w14:paraId="2DA9538C">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10.4.3 应定期组织应急演练，并根据演练结果和系统变化及时修订应急预案。</w:t>
      </w:r>
    </w:p>
    <w:p w14:paraId="62588F7E">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val="0"/>
          <w:kern w:val="21"/>
        </w:rPr>
      </w:pPr>
      <w:bookmarkStart w:id="91" w:name="_Toc24787"/>
      <w:r>
        <w:rPr>
          <w:rFonts w:hint="eastAsia" w:ascii="Times New Roman" w:hAnsi="Times New Roman" w:eastAsia="黑体" w:cs="黑体"/>
          <w:b/>
          <w:bCs w:val="0"/>
          <w:kern w:val="21"/>
        </w:rPr>
        <w:t>10.</w:t>
      </w:r>
      <w:r>
        <w:rPr>
          <w:rFonts w:hint="eastAsia" w:ascii="Times New Roman" w:hAnsi="Times New Roman" w:eastAsia="黑体" w:cs="黑体"/>
          <w:b/>
          <w:bCs w:val="0"/>
          <w:kern w:val="21"/>
          <w:lang w:val="en-US" w:eastAsia="zh-CN"/>
        </w:rPr>
        <w:t>5</w:t>
      </w:r>
      <w:r>
        <w:rPr>
          <w:rFonts w:hint="eastAsia" w:ascii="Times New Roman" w:hAnsi="Times New Roman" w:eastAsia="黑体" w:cs="黑体"/>
          <w:b/>
          <w:bCs w:val="0"/>
          <w:kern w:val="21"/>
        </w:rPr>
        <w:t xml:space="preserve"> </w:t>
      </w:r>
      <w:r>
        <w:rPr>
          <w:rFonts w:hint="eastAsia" w:ascii="Times New Roman" w:hAnsi="Times New Roman" w:eastAsia="黑体" w:cs="黑体"/>
          <w:b/>
          <w:bCs w:val="0"/>
          <w:kern w:val="21"/>
          <w:lang w:val="en-US" w:eastAsia="zh-CN"/>
        </w:rPr>
        <w:t xml:space="preserve"> </w:t>
      </w:r>
      <w:r>
        <w:rPr>
          <w:rFonts w:hint="eastAsia" w:ascii="Times New Roman" w:hAnsi="Times New Roman" w:eastAsia="黑体" w:cs="黑体"/>
          <w:b w:val="0"/>
          <w:bCs/>
          <w:kern w:val="21"/>
        </w:rPr>
        <w:t>符合性检查</w:t>
      </w:r>
      <w:bookmarkEnd w:id="91"/>
    </w:p>
    <w:p w14:paraId="70312F87">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应定期（如每年一次）或在新系统上线、重大变更后，对本章规定的各项要求的执行情况进行符合性检查与评审，确保运维与安全管理的持续有效。</w:t>
      </w:r>
    </w:p>
    <w:p w14:paraId="41B3F42C">
      <w:pPr>
        <w:pStyle w:val="110"/>
        <w:numPr>
          <w:ilvl w:val="2"/>
          <w:numId w:val="0"/>
        </w:numPr>
        <w:spacing w:before="120" w:after="120"/>
        <w:jc w:val="center"/>
        <w:rPr>
          <w:color w:val="000000"/>
          <w14:scene3d>
            <w14:lightRig w14:rig="threePt" w14:dir="t">
              <w14:rot w14:lat="0" w14:lon="0" w14:rev="0"/>
            </w14:lightRig>
          </w14:scene3d>
        </w:rPr>
      </w:pPr>
      <w:bookmarkStart w:id="92" w:name="_Toc20249"/>
      <w:bookmarkStart w:id="93" w:name="_Toc26480"/>
      <w:bookmarkStart w:id="94" w:name="_Toc21902"/>
      <w:bookmarkStart w:id="95" w:name="_Toc25274"/>
      <w:r>
        <w:rPr>
          <w:color w:val="000000"/>
        </w:rPr>
        <w:drawing>
          <wp:inline distT="0" distB="0" distL="0" distR="0">
            <wp:extent cx="1485900" cy="317500"/>
            <wp:effectExtent l="0" t="0" r="0" b="6350"/>
            <wp:docPr id="1871296992" name="图片 1"/>
            <wp:cNvGraphicFramePr/>
            <a:graphic xmlns:a="http://schemas.openxmlformats.org/drawingml/2006/main">
              <a:graphicData uri="http://schemas.openxmlformats.org/drawingml/2006/picture">
                <pic:pic xmlns:pic="http://schemas.openxmlformats.org/drawingml/2006/picture">
                  <pic:nvPicPr>
                    <pic:cNvPr id="1871296992" name="图片 1"/>
                    <pic:cNvPicPr/>
                  </pic:nvPicPr>
                  <pic:blipFill>
                    <a:blip r:embed="rId26">
                      <a:extLst>
                        <a:ext uri="{28A0092B-C50C-407E-A947-70E740481C1C}">
                          <a14:useLocalDpi xmlns:a14="http://schemas.microsoft.com/office/drawing/2010/main" val="0"/>
                        </a:ext>
                      </a:extLst>
                    </a:blip>
                    <a:stretch>
                      <a:fillRect/>
                    </a:stretch>
                  </pic:blipFill>
                  <pic:spPr>
                    <a:xfrm>
                      <a:off x="0" y="0"/>
                      <a:ext cx="1485900" cy="317500"/>
                    </a:xfrm>
                    <a:prstGeom prst="rect">
                      <a:avLst/>
                    </a:prstGeom>
                  </pic:spPr>
                </pic:pic>
              </a:graphicData>
            </a:graphic>
          </wp:inline>
        </w:drawing>
      </w:r>
      <w:bookmarkEnd w:id="24"/>
      <w:bookmarkEnd w:id="25"/>
      <w:bookmarkEnd w:id="92"/>
      <w:bookmarkEnd w:id="93"/>
      <w:bookmarkEnd w:id="94"/>
      <w:bookmarkEnd w:id="95"/>
    </w:p>
    <w:sectPr>
      <w:headerReference r:id="rId22" w:type="first"/>
      <w:headerReference r:id="rId20" w:type="default"/>
      <w:footerReference r:id="rId23" w:type="default"/>
      <w:headerReference r:id="rId21" w:type="even"/>
      <w:footerReference r:id="rId24" w:type="even"/>
      <w:pgSz w:w="11906" w:h="16838"/>
      <w:pgMar w:top="1928" w:right="1134" w:bottom="1134" w:left="1134" w:header="1418" w:footer="1134" w:gutter="284"/>
      <w:pgNumType w:start="1"/>
      <w:cols w:space="425" w:num="1"/>
      <w:formProt w:val="0"/>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16AFEC">
    <w:pPr>
      <w:pStyle w:val="19"/>
    </w:pPr>
    <w:r>
      <w:fldChar w:fldCharType="begin"/>
    </w:r>
    <w:r>
      <w:instrText xml:space="preserve">PAGE   \* MERGEFORMAT</w:instrText>
    </w:r>
    <w:r>
      <w:fldChar w:fldCharType="separate"/>
    </w:r>
    <w:r>
      <w:rPr>
        <w:lang w:val="zh-CN"/>
      </w:rPr>
      <w:t>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B2A63A">
    <w:pPr>
      <w:pStyle w:val="19"/>
      <w:ind w:right="720"/>
      <w:jc w:val="both"/>
      <w:rPr>
        <w:sz w:val="2"/>
        <w:szCs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62D905">
    <w:pPr>
      <w:pStyle w:val="57"/>
    </w:pPr>
    <w:r>
      <w:fldChar w:fldCharType="begin"/>
    </w:r>
    <w:r>
      <w:instrText xml:space="preserve">PAGE   \* MERGEFORMAT</w:instrText>
    </w:r>
    <w:r>
      <w:fldChar w:fldCharType="separate"/>
    </w:r>
    <w:r>
      <w:rPr>
        <w:lang w:val="zh-CN"/>
      </w:rPr>
      <w:t>I</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6D3EC8">
    <w:pPr>
      <w:pStyle w:val="56"/>
    </w:pPr>
    <w:r>
      <w:fldChar w:fldCharType="begin"/>
    </w:r>
    <w:r>
      <w:instrText xml:space="preserve"> PAGE   \* MERGEFORMAT \* MERGEFORMAT </w:instrText>
    </w:r>
    <w:r>
      <w:fldChar w:fldCharType="separate"/>
    </w:r>
    <w:r>
      <w:t>II</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E82671">
    <w:pPr>
      <w:pStyle w:val="57"/>
    </w:pPr>
    <w:r>
      <w:fldChar w:fldCharType="begin"/>
    </w:r>
    <w:r>
      <w:instrText xml:space="preserve">PAGE   \* MERGEFORMAT</w:instrText>
    </w:r>
    <w:r>
      <w:fldChar w:fldCharType="separate"/>
    </w:r>
    <w:r>
      <w:rPr>
        <w:lang w:val="zh-CN"/>
      </w:rPr>
      <w:t>13</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6A4BCA">
    <w:pPr>
      <w:pStyle w:val="56"/>
    </w:pPr>
    <w:r>
      <w:fldChar w:fldCharType="begin"/>
    </w:r>
    <w:r>
      <w:instrText xml:space="preserve"> PAGE   \* MERGEFORMAT \* MERGEFORMAT </w:instrText>
    </w:r>
    <w:r>
      <w:fldChar w:fldCharType="separate"/>
    </w:r>
    <w:r>
      <w:t>14</w:t>
    </w:r>
    <w: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A77730">
    <w:pPr>
      <w:pStyle w:val="57"/>
    </w:pPr>
    <w:r>
      <w:fldChar w:fldCharType="begin"/>
    </w:r>
    <w:r>
      <w:instrText xml:space="preserve">PAGE   \* MERGEFORMAT</w:instrText>
    </w:r>
    <w:r>
      <w:fldChar w:fldCharType="separate"/>
    </w:r>
    <w:r>
      <w:rPr>
        <w:lang w:val="zh-CN"/>
      </w:rPr>
      <w:t>3</w:t>
    </w:r>
    <w: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183970">
    <w:pPr>
      <w:pStyle w:val="56"/>
    </w:pPr>
    <w:r>
      <w:fldChar w:fldCharType="begin"/>
    </w:r>
    <w:r>
      <w:instrText xml:space="preserve"> PAGE   \* MERGEFORMAT \* MERGEFORMAT </w:instrText>
    </w:r>
    <w:r>
      <w:fldChar w:fldCharType="separate"/>
    </w:r>
    <w:r>
      <w:t>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BFB40B">
    <w:pPr>
      <w:pStyle w:val="20"/>
      <w:wordWrap w:val="0"/>
      <w:jc w:val="right"/>
      <w:rPr>
        <w:rFonts w:ascii="黑体" w:hAnsi="黑体" w:eastAsia="黑体"/>
      </w:rPr>
    </w:pPr>
    <w:r>
      <w:pict>
        <v:shape id="PowerPlusWaterMarkObject850688767" o:spid="_x0000_s2051" o:spt="136" type="#_x0000_t136" style="position:absolute;left:0pt;height:131.85pt;width:527.55pt;mso-position-horizontal:center;mso-position-horizontal-relative:margin;mso-position-vertical:center;mso-position-vertical-relative:margin;rotation:20643840f;z-index:-251654144;mso-width-relative:page;mso-height-relative:page;" fillcolor="#8EAADB" filled="t" stroked="f" coordsize="21600,21600" o:allowincell="f">
          <v:path/>
          <v:fill on="t" opacity="32768f" focussize="0,0"/>
          <v:stroke on="f"/>
          <v:imagedata o:title=""/>
          <o:lock v:ext="edit"/>
          <v:textpath on="t" fitshape="t" fitpath="t" trim="f" xscale="f" string="T/COSOCC" style="font-family:宋体;font-size:1pt;v-text-align:center;"/>
        </v:shape>
      </w:pict>
    </w:r>
    <w:r>
      <w:rPr>
        <w:rFonts w:ascii="黑体" w:hAnsi="黑体" w:eastAsia="黑体"/>
      </w:rPr>
      <w:t>Q/LB.</w:t>
    </w:r>
    <w:r>
      <w:rPr>
        <w:rFonts w:hint="eastAsia" w:ascii="黑体" w:hAnsi="黑体" w:eastAsia="黑体"/>
      </w:rPr>
      <w:t>□</w:t>
    </w:r>
    <w:r>
      <w:rPr>
        <w:rFonts w:ascii="黑体" w:hAnsi="黑体" w:eastAsia="黑体"/>
      </w:rPr>
      <w:t>XXXXX-XXXX</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6D5129">
    <w:pPr>
      <w:pStyle w:val="20"/>
    </w:pPr>
    <w:r>
      <w:pict>
        <v:shape id="PowerPlusWaterMarkObject850688766" o:spid="_x0000_s2050" o:spt="136" type="#_x0000_t136" style="position:absolute;left:0pt;height:131.85pt;width:527.55pt;mso-position-horizontal:center;mso-position-horizontal-relative:margin;mso-position-vertical:center;mso-position-vertical-relative:margin;rotation:20643840f;z-index:-251655168;mso-width-relative:page;mso-height-relative:page;" fillcolor="#8EAADB" filled="t" stroked="f" coordsize="21600,21600" o:allowincell="f">
          <v:path/>
          <v:fill on="t" opacity="32768f" focussize="0,0"/>
          <v:stroke on="f"/>
          <v:imagedata o:title=""/>
          <o:lock v:ext="edit"/>
          <v:textpath on="t" fitshape="t" fitpath="t" trim="f" xscale="f" string="T/COSOCC" style="font-family:宋体;font-size:1pt;v-text-align:center;"/>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1D9E2B">
    <w:pPr>
      <w:pStyle w:val="20"/>
      <w:jc w:val="both"/>
      <w:rPr>
        <w:sz w:val="2"/>
        <w:szCs w:val="2"/>
      </w:rPr>
    </w:pPr>
    <w:r>
      <w:pict>
        <v:shape id="PowerPlusWaterMarkObject850688765" o:spid="_x0000_s2049" o:spt="136" type="#_x0000_t136" style="position:absolute;left:0pt;height:131.85pt;width:527.55pt;mso-position-horizontal:center;mso-position-horizontal-relative:margin;mso-position-vertical:center;mso-position-vertical-relative:margin;rotation:20643840f;z-index:-251657216;mso-width-relative:page;mso-height-relative:page;" fillcolor="#8EAADB" filled="t" stroked="f" coordsize="21600,21600" o:allowincell="f">
          <v:path/>
          <v:fill on="t" opacity="32768f" focussize="0,0"/>
          <v:stroke on="f"/>
          <v:imagedata o:title=""/>
          <o:lock v:ext="edit"/>
          <v:textpath on="t" fitshape="t" fitpath="t" trim="f" xscale="f" string="T/COSOCC" style="font-family:宋体;font-size:1pt;v-text-align:center;"/>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E7701F">
    <w:pPr>
      <w:pStyle w:val="66"/>
    </w:pPr>
    <w:r>
      <w:pict>
        <v:shape id="PowerPlusWaterMarkObject850688770" o:spid="_x0000_s2054" o:spt="136" type="#_x0000_t136" style="position:absolute;left:0pt;height:131.85pt;width:527.55pt;mso-position-horizontal:center;mso-position-horizontal-relative:margin;mso-position-vertical:center;mso-position-vertical-relative:margin;rotation:20643840f;z-index:-251651072;mso-width-relative:page;mso-height-relative:page;" fillcolor="#9CC2E5" filled="t" stroked="f" coordsize="21600,21600" o:allowincell="f">
          <v:path/>
          <v:fill on="t" opacity="32768f" focussize="0,0"/>
          <v:stroke on="f"/>
          <v:imagedata o:title=""/>
          <o:lock v:ext="edit"/>
          <v:textpath on="t" fitshape="t" fitpath="t" trim="f" xscale="f" string="T/COSOCC" style="font-family:宋体;font-size:1pt;v-text-align:center;"/>
        </v:shape>
      </w:pict>
    </w:r>
    <w:r>
      <w:fldChar w:fldCharType="begin"/>
    </w:r>
    <w:r>
      <w:instrText xml:space="preserve"> STYLEREF  标准文件_文件编号  \* MERGEFORMAT </w:instrText>
    </w:r>
    <w:r>
      <w:fldChar w:fldCharType="separate"/>
    </w:r>
    <w:r>
      <w:t>T/COSOCC XXXX—XXXX</w:t>
    </w:r>
    <w: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9163C0">
    <w:pPr>
      <w:pStyle w:val="67"/>
    </w:pPr>
    <w:r>
      <w:pict>
        <v:shape id="PowerPlusWaterMarkObject850688769" o:spid="_x0000_s2053" o:spt="136" type="#_x0000_t136" style="position:absolute;left:0pt;height:131.85pt;width:527.55pt;mso-position-horizontal:center;mso-position-horizontal-relative:margin;mso-position-vertical:center;mso-position-vertical-relative:margin;rotation:20643840f;z-index:-251652096;mso-width-relative:page;mso-height-relative:page;" fillcolor="#9CC2E5" filled="t" stroked="f" coordsize="21600,21600" o:allowincell="f">
          <v:path/>
          <v:fill on="t" opacity="32768f" focussize="0,0"/>
          <v:stroke on="f"/>
          <v:imagedata o:title=""/>
          <o:lock v:ext="edit"/>
          <v:textpath on="t" fitshape="t" fitpath="t" trim="f" xscale="f" string="T/COSOCC" style="font-family:宋体;font-size:1pt;v-text-align:center;"/>
        </v:shape>
      </w:pict>
    </w:r>
    <w:r>
      <w:rPr>
        <w:rFonts w:hint="eastAsia"/>
      </w:rPr>
      <w:fldChar w:fldCharType="begin"/>
    </w:r>
    <w:r>
      <w:rPr>
        <w:rFonts w:hint="eastAsia"/>
      </w:rPr>
      <w:instrText xml:space="preserve"> STYLEREF  标准文件_文件编号 \* MERGEFORMAT </w:instrText>
    </w:r>
    <w:r>
      <w:rPr>
        <w:rFonts w:hint="eastAsia"/>
      </w:rPr>
      <w:fldChar w:fldCharType="separate"/>
    </w:r>
    <w:r>
      <w:rPr>
        <w:rFonts w:hint="eastAsia"/>
      </w:rPr>
      <w:t>T/COSOCC XXXX—XXXX</w:t>
    </w:r>
    <w:r>
      <w:rPr>
        <w:rFonts w:hint="eastAsia"/>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990C72">
    <w:pPr>
      <w:pStyle w:val="20"/>
    </w:pPr>
    <w:r>
      <w:pict>
        <v:shape id="PowerPlusWaterMarkObject850688768" o:spid="_x0000_s2052" o:spt="136" type="#_x0000_t136" style="position:absolute;left:0pt;height:131.85pt;width:527.55pt;mso-position-horizontal:center;mso-position-horizontal-relative:margin;mso-position-vertical:center;mso-position-vertical-relative:margin;rotation:20643840f;z-index:-251653120;mso-width-relative:page;mso-height-relative:page;" fillcolor="#9CC2E5" filled="t" stroked="f" coordsize="21600,21600" o:allowincell="f">
          <v:path/>
          <v:fill on="t" opacity="32768f" focussize="0,0"/>
          <v:stroke on="f"/>
          <v:imagedata o:title=""/>
          <o:lock v:ext="edit"/>
          <v:textpath on="t" fitshape="t" fitpath="t" trim="f" xscale="f" string="T/COSOCC" style="font-family:宋体;font-size:1pt;v-text-align:center;"/>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780AC1">
    <w:pPr>
      <w:pStyle w:val="66"/>
    </w:pPr>
    <w:r>
      <w:pict>
        <v:shape id="PowerPlusWaterMarkObject850688773" o:spid="_x0000_s2057" o:spt="136" type="#_x0000_t136" style="position:absolute;left:0pt;height:131.85pt;width:527.55pt;mso-position-horizontal:center;mso-position-horizontal-relative:margin;mso-position-vertical:center;mso-position-vertical-relative:margin;rotation:20643840f;z-index:-251648000;mso-width-relative:page;mso-height-relative:page;" fillcolor="#8EAADB" filled="t" stroked="f" coordsize="21600,21600" o:allowincell="f">
          <v:path/>
          <v:fill on="t" opacity="32768f" focussize="0,0"/>
          <v:stroke on="f"/>
          <v:imagedata o:title=""/>
          <o:lock v:ext="edit"/>
          <v:textpath on="t" fitshape="t" fitpath="t" trim="f" xscale="f" string="T/COSOCC" style="font-family:宋体;font-size:1pt;v-text-align:center;"/>
        </v:shape>
      </w:pict>
    </w:r>
    <w:r>
      <w:fldChar w:fldCharType="begin"/>
    </w:r>
    <w:r>
      <w:instrText xml:space="preserve"> STYLEREF  标准文件_文件编号  \* MERGEFORMAT </w:instrText>
    </w:r>
    <w:r>
      <w:fldChar w:fldCharType="separate"/>
    </w:r>
    <w:r>
      <w:t>T/COSOCC XXXX—XXXX</w:t>
    </w:r>
    <w:r>
      <w:fldChar w:fldCharType="end"/>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A79734">
    <w:pPr>
      <w:pStyle w:val="67"/>
    </w:pPr>
    <w:r>
      <w:pict>
        <v:shape id="PowerPlusWaterMarkObject850688772" o:spid="_x0000_s2056" o:spt="136" type="#_x0000_t136" style="position:absolute;left:0pt;height:131.85pt;width:527.55pt;mso-position-horizontal:center;mso-position-horizontal-relative:margin;mso-position-vertical:center;mso-position-vertical-relative:margin;rotation:20643840f;z-index:-251649024;mso-width-relative:page;mso-height-relative:page;" fillcolor="#8EAADB" filled="t" stroked="f" coordsize="21600,21600" o:allowincell="f">
          <v:path/>
          <v:fill on="t" opacity="32768f" focussize="0,0"/>
          <v:stroke on="f"/>
          <v:imagedata o:title=""/>
          <o:lock v:ext="edit"/>
          <v:textpath on="t" fitshape="t" fitpath="t" trim="f" xscale="f" string="T/COSOCC" style="font-family:宋体;font-size:1pt;v-text-align:center;"/>
        </v:shape>
      </w:pict>
    </w:r>
    <w:r>
      <w:rPr>
        <w:rFonts w:hint="eastAsia"/>
      </w:rPr>
      <w:fldChar w:fldCharType="begin"/>
    </w:r>
    <w:r>
      <w:rPr>
        <w:rFonts w:hint="eastAsia"/>
      </w:rPr>
      <w:instrText xml:space="preserve"> STYLEREF  标准文件_文件编号 \* MERGEFORMAT </w:instrText>
    </w:r>
    <w:r>
      <w:rPr>
        <w:rFonts w:hint="eastAsia"/>
      </w:rPr>
      <w:fldChar w:fldCharType="separate"/>
    </w:r>
    <w:r>
      <w:rPr>
        <w:rFonts w:hint="eastAsia"/>
      </w:rPr>
      <w:t>T/COSOCC XXXX—XXXX</w:t>
    </w:r>
    <w:r>
      <w:rPr>
        <w:rFonts w:hint="eastAsia"/>
      </w:rPr>
      <w:fldChar w:fldCharType="end"/>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C66CA8">
    <w:pPr>
      <w:pStyle w:val="20"/>
    </w:pPr>
    <w:r>
      <w:pict>
        <v:shape id="PowerPlusWaterMarkObject850688771" o:spid="_x0000_s2055" o:spt="136" type="#_x0000_t136" style="position:absolute;left:0pt;height:131.85pt;width:527.55pt;mso-position-horizontal:center;mso-position-horizontal-relative:margin;mso-position-vertical:center;mso-position-vertical-relative:margin;rotation:20643840f;z-index:-251650048;mso-width-relative:page;mso-height-relative:page;" fillcolor="#8EAADB" filled="t" stroked="f" coordsize="21600,21600" o:allowincell="f">
          <v:path/>
          <v:fill on="t" opacity="32768f" focussize="0,0"/>
          <v:stroke on="f"/>
          <v:imagedata o:title=""/>
          <o:lock v:ext="edit"/>
          <v:textpath on="t" fitshape="t" fitpath="t" trim="f" xscale="f" string="T/COSOCC" style="font-family:宋体;font-size:1pt;v-text-align:center;"/>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6201C6">
    <w:pPr>
      <w:pStyle w:val="66"/>
    </w:pPr>
    <w:r>
      <w:pict>
        <v:shape id="PowerPlusWaterMarkObject850688776" o:spid="_x0000_s2060" o:spt="136" type="#_x0000_t136" style="position:absolute;left:0pt;height:131.85pt;width:527.55pt;mso-position-horizontal:center;mso-position-horizontal-relative:margin;mso-position-vertical:center;mso-position-vertical-relative:margin;rotation:20643840f;z-index:-251644928;mso-width-relative:page;mso-height-relative:page;" fillcolor="#9CC2E5" filled="t" stroked="f" coordsize="21600,21600" o:allowincell="f">
          <v:path/>
          <v:fill on="t" opacity="32768f" focussize="0,0"/>
          <v:stroke on="f"/>
          <v:imagedata o:title=""/>
          <o:lock v:ext="edit"/>
          <v:textpath on="t" fitshape="t" fitpath="t" trim="f" xscale="f" string="T/COSOCC" style="font-family:宋体;font-size:1pt;v-text-align:center;"/>
        </v:shape>
      </w:pict>
    </w:r>
    <w:r>
      <w:fldChar w:fldCharType="begin"/>
    </w:r>
    <w:r>
      <w:instrText xml:space="preserve"> STYLEREF  标准文件_文件编号  \* MERGEFORMAT </w:instrText>
    </w:r>
    <w:r>
      <w:fldChar w:fldCharType="separate"/>
    </w:r>
    <w:r>
      <w:t>T/COSOCC XXXX—XXXX</w:t>
    </w:r>
    <w:r>
      <w:fldChar w:fldCharType="end"/>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087CEC">
    <w:pPr>
      <w:pStyle w:val="67"/>
    </w:pPr>
    <w:r>
      <w:pict>
        <v:shape id="PowerPlusWaterMarkObject850688775" o:spid="_x0000_s2059" o:spt="136" type="#_x0000_t136" style="position:absolute;left:0pt;height:131.85pt;width:527.55pt;mso-position-horizontal:center;mso-position-horizontal-relative:margin;mso-position-vertical:center;mso-position-vertical-relative:margin;rotation:20643840f;z-index:-251645952;mso-width-relative:page;mso-height-relative:page;" fillcolor="#9CC2E5" filled="t" stroked="f" coordsize="21600,21600" o:allowincell="f">
          <v:path/>
          <v:fill on="t" opacity="32768f" focussize="0,0"/>
          <v:stroke on="f"/>
          <v:imagedata o:title=""/>
          <o:lock v:ext="edit"/>
          <v:textpath on="t" fitshape="t" fitpath="t" trim="f" xscale="f" string="T/COSOCC" style="font-family:宋体;font-size:1pt;v-text-align:center;"/>
        </v:shape>
      </w:pict>
    </w:r>
    <w:r>
      <w:rPr>
        <w:rFonts w:hint="eastAsia"/>
      </w:rPr>
      <w:fldChar w:fldCharType="begin"/>
    </w:r>
    <w:r>
      <w:rPr>
        <w:rFonts w:hint="eastAsia"/>
      </w:rPr>
      <w:instrText xml:space="preserve"> STYLEREF  标准文件_文件编号 \* MERGEFORMAT </w:instrText>
    </w:r>
    <w:r>
      <w:rPr>
        <w:rFonts w:hint="eastAsia"/>
      </w:rPr>
      <w:fldChar w:fldCharType="separate"/>
    </w:r>
    <w:r>
      <w:rPr>
        <w:rFonts w:hint="eastAsia"/>
      </w:rPr>
      <w:t>T/COSOCC XXXX—XXXX</w:t>
    </w:r>
    <w:r>
      <w:rPr>
        <w:rFonts w:hint="eastAsia"/>
      </w:rPr>
      <w:fldChar w:fldCharType="end"/>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D43D3F">
    <w:pPr>
      <w:pStyle w:val="20"/>
    </w:pPr>
    <w:r>
      <w:pict>
        <v:shape id="PowerPlusWaterMarkObject850688774" o:spid="_x0000_s2058" o:spt="136" type="#_x0000_t136" style="position:absolute;left:0pt;height:131.85pt;width:527.55pt;mso-position-horizontal:center;mso-position-horizontal-relative:margin;mso-position-vertical:center;mso-position-vertical-relative:margin;rotation:20643840f;z-index:-251646976;mso-width-relative:page;mso-height-relative:page;" fillcolor="#9CC2E5" filled="t" stroked="f" coordsize="21600,21600" o:allowincell="f">
          <v:path/>
          <v:fill on="t" opacity="32768f" focussize="0,0"/>
          <v:stroke on="f"/>
          <v:imagedata o:title=""/>
          <o:lock v:ext="edit"/>
          <v:textpath on="t" fitshape="t" fitpath="t" trim="f" xscale="f" string="T/COSOCC" style="font-family:宋体;font-size:1pt;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837933"/>
    <w:multiLevelType w:val="multilevel"/>
    <w:tmpl w:val="02837933"/>
    <w:lvl w:ilvl="0" w:tentative="0">
      <w:start w:val="1"/>
      <w:numFmt w:val="decimal"/>
      <w:pStyle w:val="69"/>
      <w:lvlText w:val="[%1]"/>
      <w:lvlJc w:val="left"/>
      <w:pPr>
        <w:tabs>
          <w:tab w:val="left" w:pos="1646"/>
        </w:tabs>
        <w:ind w:left="1646" w:hanging="648"/>
      </w:pPr>
    </w:lvl>
    <w:lvl w:ilvl="1" w:tentative="0">
      <w:start w:val="1"/>
      <w:numFmt w:val="lowerLetter"/>
      <w:lvlText w:val="%2)"/>
      <w:lvlJc w:val="left"/>
      <w:pPr>
        <w:tabs>
          <w:tab w:val="left" w:pos="1838"/>
        </w:tabs>
        <w:ind w:left="1838" w:hanging="420"/>
      </w:pPr>
    </w:lvl>
    <w:lvl w:ilvl="2" w:tentative="0">
      <w:start w:val="1"/>
      <w:numFmt w:val="lowerRoman"/>
      <w:lvlText w:val="%3."/>
      <w:lvlJc w:val="right"/>
      <w:pPr>
        <w:tabs>
          <w:tab w:val="left" w:pos="2258"/>
        </w:tabs>
        <w:ind w:left="2258" w:hanging="420"/>
      </w:pPr>
    </w:lvl>
    <w:lvl w:ilvl="3" w:tentative="0">
      <w:start w:val="1"/>
      <w:numFmt w:val="decimal"/>
      <w:lvlText w:val="%4."/>
      <w:lvlJc w:val="left"/>
      <w:pPr>
        <w:tabs>
          <w:tab w:val="left" w:pos="2678"/>
        </w:tabs>
        <w:ind w:left="2678" w:hanging="420"/>
      </w:pPr>
    </w:lvl>
    <w:lvl w:ilvl="4" w:tentative="0">
      <w:start w:val="1"/>
      <w:numFmt w:val="lowerLetter"/>
      <w:lvlText w:val="%5)"/>
      <w:lvlJc w:val="left"/>
      <w:pPr>
        <w:tabs>
          <w:tab w:val="left" w:pos="3098"/>
        </w:tabs>
        <w:ind w:left="3098" w:hanging="420"/>
      </w:pPr>
    </w:lvl>
    <w:lvl w:ilvl="5" w:tentative="0">
      <w:start w:val="1"/>
      <w:numFmt w:val="lowerRoman"/>
      <w:lvlText w:val="%6."/>
      <w:lvlJc w:val="right"/>
      <w:pPr>
        <w:tabs>
          <w:tab w:val="left" w:pos="3518"/>
        </w:tabs>
        <w:ind w:left="3518" w:hanging="420"/>
      </w:pPr>
    </w:lvl>
    <w:lvl w:ilvl="6" w:tentative="0">
      <w:start w:val="1"/>
      <w:numFmt w:val="decimal"/>
      <w:lvlText w:val="%7."/>
      <w:lvlJc w:val="left"/>
      <w:pPr>
        <w:tabs>
          <w:tab w:val="left" w:pos="3938"/>
        </w:tabs>
        <w:ind w:left="3938" w:hanging="420"/>
      </w:pPr>
    </w:lvl>
    <w:lvl w:ilvl="7" w:tentative="0">
      <w:start w:val="1"/>
      <w:numFmt w:val="lowerLetter"/>
      <w:lvlText w:val="%8)"/>
      <w:lvlJc w:val="left"/>
      <w:pPr>
        <w:tabs>
          <w:tab w:val="left" w:pos="4358"/>
        </w:tabs>
        <w:ind w:left="4358" w:hanging="420"/>
      </w:pPr>
    </w:lvl>
    <w:lvl w:ilvl="8" w:tentative="0">
      <w:start w:val="1"/>
      <w:numFmt w:val="lowerRoman"/>
      <w:lvlText w:val="%9."/>
      <w:lvlJc w:val="right"/>
      <w:pPr>
        <w:tabs>
          <w:tab w:val="left" w:pos="4778"/>
        </w:tabs>
        <w:ind w:left="4778" w:hanging="420"/>
      </w:pPr>
    </w:lvl>
  </w:abstractNum>
  <w:abstractNum w:abstractNumId="1">
    <w:nsid w:val="040A15CD"/>
    <w:multiLevelType w:val="multilevel"/>
    <w:tmpl w:val="040A15CD"/>
    <w:lvl w:ilvl="0" w:tentative="0">
      <w:start w:val="1"/>
      <w:numFmt w:val="none"/>
      <w:suff w:val="nothing"/>
      <w:lvlText w:val="　"/>
      <w:lvlJc w:val="left"/>
      <w:pPr>
        <w:ind w:left="0" w:firstLine="0"/>
      </w:pPr>
    </w:lvl>
    <w:lvl w:ilvl="1" w:tentative="0">
      <w:start w:val="1"/>
      <w:numFmt w:val="decimal"/>
      <w:isLgl/>
      <w:suff w:val="nothing"/>
      <w:lvlText w:val="%2　"/>
      <w:lvlJc w:val="left"/>
      <w:pPr>
        <w:ind w:left="0" w:firstLine="0"/>
      </w:pPr>
    </w:lvl>
    <w:lvl w:ilvl="2" w:tentative="0">
      <w:start w:val="1"/>
      <w:numFmt w:val="decimal"/>
      <w:pStyle w:val="164"/>
      <w:suff w:val="nothing"/>
      <w:lvlText w:val="%1%2.%3　"/>
      <w:lvlJc w:val="left"/>
      <w:pPr>
        <w:ind w:left="0" w:firstLine="0"/>
      </w:pPr>
    </w:lvl>
    <w:lvl w:ilvl="3" w:tentative="0">
      <w:start w:val="1"/>
      <w:numFmt w:val="decimal"/>
      <w:pStyle w:val="123"/>
      <w:suff w:val="nothing"/>
      <w:lvlText w:val="%1%2.%3.%4　"/>
      <w:lvlJc w:val="left"/>
      <w:pPr>
        <w:ind w:left="0" w:firstLine="0"/>
      </w:pPr>
    </w:lvl>
    <w:lvl w:ilvl="4" w:tentative="0">
      <w:start w:val="1"/>
      <w:numFmt w:val="decimal"/>
      <w:pStyle w:val="158"/>
      <w:suff w:val="nothing"/>
      <w:lvlText w:val="%1%2.%3.%4.%5　"/>
      <w:lvlJc w:val="left"/>
      <w:pPr>
        <w:ind w:left="0" w:firstLine="0"/>
      </w:pPr>
    </w:lvl>
    <w:lvl w:ilvl="5" w:tentative="0">
      <w:start w:val="1"/>
      <w:numFmt w:val="decimal"/>
      <w:pStyle w:val="160"/>
      <w:suff w:val="nothing"/>
      <w:lvlText w:val="%1%2.%3.%4.%5.%6　"/>
      <w:lvlJc w:val="left"/>
      <w:pPr>
        <w:ind w:left="0" w:firstLine="0"/>
      </w:pPr>
    </w:lvl>
    <w:lvl w:ilvl="6" w:tentative="0">
      <w:start w:val="1"/>
      <w:numFmt w:val="decimal"/>
      <w:pStyle w:val="163"/>
      <w:suff w:val="nothing"/>
      <w:lvlText w:val="%1%2.%3.%4.%5.%6.%7　"/>
      <w:lvlJc w:val="left"/>
      <w:pPr>
        <w:ind w:left="0" w:firstLine="0"/>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2">
    <w:nsid w:val="079102AD"/>
    <w:multiLevelType w:val="multilevel"/>
    <w:tmpl w:val="079102AD"/>
    <w:lvl w:ilvl="0" w:tentative="0">
      <w:start w:val="1"/>
      <w:numFmt w:val="decimal"/>
      <w:pStyle w:val="185"/>
      <w:suff w:val="nothing"/>
      <w:lvlText w:val="注%1："/>
      <w:lvlJc w:val="left"/>
      <w:pPr>
        <w:ind w:left="811" w:hanging="448"/>
      </w:pPr>
      <w:rPr>
        <w:rFonts w:hint="eastAsia" w:ascii="黑体" w:eastAsia="黑体"/>
        <w:b w:val="0"/>
        <w:i w:val="0"/>
        <w:sz w:val="18"/>
      </w:rPr>
    </w:lvl>
    <w:lvl w:ilvl="1" w:tentative="0">
      <w:start w:val="1"/>
      <w:numFmt w:val="lowerLetter"/>
      <w:lvlText w:val="%2)"/>
      <w:lvlJc w:val="left"/>
      <w:pPr>
        <w:tabs>
          <w:tab w:val="left" w:pos="0"/>
        </w:tabs>
        <w:ind w:left="992" w:hanging="629"/>
      </w:pPr>
      <w:rPr>
        <w:rFonts w:hint="eastAsia"/>
      </w:rPr>
    </w:lvl>
    <w:lvl w:ilvl="2" w:tentative="0">
      <w:start w:val="1"/>
      <w:numFmt w:val="lowerRoman"/>
      <w:lvlText w:val="%3."/>
      <w:lvlJc w:val="right"/>
      <w:pPr>
        <w:tabs>
          <w:tab w:val="left" w:pos="0"/>
        </w:tabs>
        <w:ind w:left="992" w:hanging="629"/>
      </w:pPr>
      <w:rPr>
        <w:rFonts w:hint="eastAsia"/>
      </w:rPr>
    </w:lvl>
    <w:lvl w:ilvl="3" w:tentative="0">
      <w:start w:val="1"/>
      <w:numFmt w:val="decimal"/>
      <w:lvlText w:val="%4."/>
      <w:lvlJc w:val="left"/>
      <w:pPr>
        <w:tabs>
          <w:tab w:val="left" w:pos="0"/>
        </w:tabs>
        <w:ind w:left="992" w:hanging="629"/>
      </w:pPr>
      <w:rPr>
        <w:rFonts w:hint="eastAsia"/>
      </w:rPr>
    </w:lvl>
    <w:lvl w:ilvl="4" w:tentative="0">
      <w:start w:val="1"/>
      <w:numFmt w:val="lowerLetter"/>
      <w:lvlText w:val="%5)"/>
      <w:lvlJc w:val="left"/>
      <w:pPr>
        <w:tabs>
          <w:tab w:val="left" w:pos="0"/>
        </w:tabs>
        <w:ind w:left="992" w:hanging="629"/>
      </w:pPr>
      <w:rPr>
        <w:rFonts w:hint="eastAsia"/>
      </w:rPr>
    </w:lvl>
    <w:lvl w:ilvl="5" w:tentative="0">
      <w:start w:val="1"/>
      <w:numFmt w:val="lowerRoman"/>
      <w:lvlText w:val="%6."/>
      <w:lvlJc w:val="right"/>
      <w:pPr>
        <w:tabs>
          <w:tab w:val="left" w:pos="0"/>
        </w:tabs>
        <w:ind w:left="992" w:hanging="629"/>
      </w:pPr>
      <w:rPr>
        <w:rFonts w:hint="eastAsia"/>
      </w:rPr>
    </w:lvl>
    <w:lvl w:ilvl="6" w:tentative="0">
      <w:start w:val="1"/>
      <w:numFmt w:val="decimal"/>
      <w:lvlText w:val="%7."/>
      <w:lvlJc w:val="left"/>
      <w:pPr>
        <w:tabs>
          <w:tab w:val="left" w:pos="0"/>
        </w:tabs>
        <w:ind w:left="992" w:hanging="629"/>
      </w:pPr>
      <w:rPr>
        <w:rFonts w:hint="eastAsia"/>
      </w:rPr>
    </w:lvl>
    <w:lvl w:ilvl="7" w:tentative="0">
      <w:start w:val="1"/>
      <w:numFmt w:val="lowerLetter"/>
      <w:lvlText w:val="%8)"/>
      <w:lvlJc w:val="left"/>
      <w:pPr>
        <w:tabs>
          <w:tab w:val="left" w:pos="0"/>
        </w:tabs>
        <w:ind w:left="992" w:hanging="629"/>
      </w:pPr>
      <w:rPr>
        <w:rFonts w:hint="eastAsia"/>
      </w:rPr>
    </w:lvl>
    <w:lvl w:ilvl="8" w:tentative="0">
      <w:start w:val="1"/>
      <w:numFmt w:val="lowerRoman"/>
      <w:lvlText w:val="%9."/>
      <w:lvlJc w:val="right"/>
      <w:pPr>
        <w:tabs>
          <w:tab w:val="left" w:pos="0"/>
        </w:tabs>
        <w:ind w:left="992" w:hanging="629"/>
      </w:pPr>
      <w:rPr>
        <w:rFonts w:hint="eastAsia"/>
      </w:rPr>
    </w:lvl>
  </w:abstractNum>
  <w:abstractNum w:abstractNumId="3">
    <w:nsid w:val="07ED3FEA"/>
    <w:multiLevelType w:val="multilevel"/>
    <w:tmpl w:val="07ED3FEA"/>
    <w:lvl w:ilvl="0" w:tentative="0">
      <w:start w:val="1"/>
      <w:numFmt w:val="none"/>
      <w:pStyle w:val="94"/>
      <w:lvlText w:val="%1"/>
      <w:lvlJc w:val="left"/>
      <w:pPr>
        <w:ind w:left="425" w:hanging="425"/>
      </w:pPr>
      <w:rPr>
        <w:rFonts w:hint="eastAsia"/>
      </w:rPr>
    </w:lvl>
    <w:lvl w:ilvl="1" w:tentative="0">
      <w:start w:val="1"/>
      <w:numFmt w:val="decimal"/>
      <w:pStyle w:val="205"/>
      <w:suff w:val="nothing"/>
      <w:lvlText w:val="%10.%2 "/>
      <w:lvlJc w:val="left"/>
      <w:pPr>
        <w:ind w:left="0" w:firstLine="0"/>
      </w:pPr>
      <w:rPr>
        <w:rFonts w:hint="eastAsia" w:ascii="黑体" w:eastAsia="黑体" w:hAnsiTheme="minorHAnsi"/>
        <w:b w:val="0"/>
        <w:i w:val="0"/>
        <w:sz w:val="21"/>
      </w:rPr>
    </w:lvl>
    <w:lvl w:ilvl="2" w:tentative="0">
      <w:start w:val="1"/>
      <w:numFmt w:val="decimal"/>
      <w:pStyle w:val="206"/>
      <w:suff w:val="nothing"/>
      <w:lvlText w:val="%10.%2.%3 "/>
      <w:lvlJc w:val="left"/>
      <w:pPr>
        <w:ind w:left="0" w:firstLine="0"/>
      </w:pPr>
      <w:rPr>
        <w:rFonts w:hint="eastAsia" w:ascii="黑体" w:eastAsia="黑体" w:hAnsiTheme="minorHAnsi"/>
        <w:b w:val="0"/>
        <w:i w:val="0"/>
        <w:sz w:val="21"/>
      </w:rPr>
    </w:lvl>
    <w:lvl w:ilvl="3" w:tentative="0">
      <w:start w:val="1"/>
      <w:numFmt w:val="decimal"/>
      <w:pStyle w:val="207"/>
      <w:suff w:val="nothing"/>
      <w:lvlText w:val="%10.%2.%3.%4 "/>
      <w:lvlJc w:val="left"/>
      <w:pPr>
        <w:ind w:left="0" w:firstLine="0"/>
      </w:pPr>
      <w:rPr>
        <w:rFonts w:hint="eastAsia" w:ascii="黑体" w:eastAsia="黑体" w:hAnsiTheme="minorHAnsi"/>
        <w:b w:val="0"/>
        <w:i w:val="0"/>
        <w:sz w:val="21"/>
      </w:rPr>
    </w:lvl>
    <w:lvl w:ilvl="4" w:tentative="0">
      <w:start w:val="1"/>
      <w:numFmt w:val="decimal"/>
      <w:pStyle w:val="208"/>
      <w:suff w:val="nothing"/>
      <w:lvlText w:val="%10.%2.%3.%4.%5 "/>
      <w:lvlJc w:val="left"/>
      <w:pPr>
        <w:ind w:left="0" w:firstLine="0"/>
      </w:pPr>
      <w:rPr>
        <w:rFonts w:hint="eastAsia" w:ascii="黑体" w:eastAsia="黑体" w:hAnsiTheme="minorHAnsi"/>
        <w:b w:val="0"/>
        <w:i w:val="0"/>
        <w:sz w:val="21"/>
      </w:rPr>
    </w:lvl>
    <w:lvl w:ilvl="5" w:tentative="0">
      <w:start w:val="1"/>
      <w:numFmt w:val="decimal"/>
      <w:pStyle w:val="209"/>
      <w:suff w:val="nothing"/>
      <w:lvlText w:val="%10.%2.%3.%4.%5.%6 "/>
      <w:lvlJc w:val="left"/>
      <w:pPr>
        <w:ind w:left="0" w:firstLine="0"/>
      </w:pPr>
      <w:rPr>
        <w:rFonts w:hint="eastAsia" w:ascii="黑体" w:eastAsia="黑体" w:hAnsiTheme="minorHAnsi"/>
        <w:b w:val="0"/>
        <w:i w:val="0"/>
        <w:sz w:val="21"/>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4">
    <w:nsid w:val="0AE367E9"/>
    <w:multiLevelType w:val="multilevel"/>
    <w:tmpl w:val="0AE367E9"/>
    <w:lvl w:ilvl="0" w:tentative="0">
      <w:start w:val="1"/>
      <w:numFmt w:val="none"/>
      <w:pStyle w:val="186"/>
      <w:suff w:val="nothing"/>
      <w:lvlText w:val="%1示例："/>
      <w:lvlJc w:val="left"/>
      <w:pPr>
        <w:ind w:left="0" w:firstLine="363"/>
      </w:pPr>
      <w:rPr>
        <w:rFonts w:hint="eastAsia" w:ascii="黑体" w:eastAsia="黑体"/>
        <w:b w:val="0"/>
        <w:i w:val="0"/>
        <w:sz w:val="18"/>
      </w:rPr>
    </w:lvl>
    <w:lvl w:ilvl="1" w:tentative="0">
      <w:start w:val="1"/>
      <w:numFmt w:val="lowerLetter"/>
      <w:lvlText w:val="%2)"/>
      <w:lvlJc w:val="left"/>
      <w:pPr>
        <w:tabs>
          <w:tab w:val="left" w:pos="363"/>
        </w:tabs>
        <w:ind w:left="0" w:firstLine="363"/>
      </w:pPr>
      <w:rPr>
        <w:rFonts w:hint="eastAsia"/>
      </w:rPr>
    </w:lvl>
    <w:lvl w:ilvl="2" w:tentative="0">
      <w:start w:val="1"/>
      <w:numFmt w:val="lowerRoman"/>
      <w:lvlText w:val="%3."/>
      <w:lvlJc w:val="right"/>
      <w:pPr>
        <w:tabs>
          <w:tab w:val="left" w:pos="363"/>
        </w:tabs>
        <w:ind w:left="0" w:firstLine="363"/>
      </w:pPr>
      <w:rPr>
        <w:rFonts w:hint="eastAsia"/>
      </w:rPr>
    </w:lvl>
    <w:lvl w:ilvl="3" w:tentative="0">
      <w:start w:val="1"/>
      <w:numFmt w:val="decimal"/>
      <w:lvlText w:val="%4."/>
      <w:lvlJc w:val="left"/>
      <w:pPr>
        <w:tabs>
          <w:tab w:val="left" w:pos="363"/>
        </w:tabs>
        <w:ind w:left="0" w:firstLine="363"/>
      </w:pPr>
      <w:rPr>
        <w:rFonts w:hint="eastAsia"/>
      </w:rPr>
    </w:lvl>
    <w:lvl w:ilvl="4" w:tentative="0">
      <w:start w:val="1"/>
      <w:numFmt w:val="lowerLetter"/>
      <w:lvlText w:val="%5)"/>
      <w:lvlJc w:val="left"/>
      <w:pPr>
        <w:tabs>
          <w:tab w:val="left" w:pos="363"/>
        </w:tabs>
        <w:ind w:left="0" w:firstLine="363"/>
      </w:pPr>
      <w:rPr>
        <w:rFonts w:hint="eastAsia"/>
      </w:rPr>
    </w:lvl>
    <w:lvl w:ilvl="5" w:tentative="0">
      <w:start w:val="1"/>
      <w:numFmt w:val="lowerRoman"/>
      <w:lvlText w:val="%6."/>
      <w:lvlJc w:val="right"/>
      <w:pPr>
        <w:tabs>
          <w:tab w:val="left" w:pos="363"/>
        </w:tabs>
        <w:ind w:left="0" w:firstLine="363"/>
      </w:pPr>
      <w:rPr>
        <w:rFonts w:hint="eastAsia"/>
      </w:rPr>
    </w:lvl>
    <w:lvl w:ilvl="6" w:tentative="0">
      <w:start w:val="1"/>
      <w:numFmt w:val="decimal"/>
      <w:lvlText w:val="%7."/>
      <w:lvlJc w:val="left"/>
      <w:pPr>
        <w:tabs>
          <w:tab w:val="left" w:pos="363"/>
        </w:tabs>
        <w:ind w:left="0" w:firstLine="363"/>
      </w:pPr>
      <w:rPr>
        <w:rFonts w:hint="eastAsia"/>
      </w:rPr>
    </w:lvl>
    <w:lvl w:ilvl="7" w:tentative="0">
      <w:start w:val="1"/>
      <w:numFmt w:val="lowerLetter"/>
      <w:lvlText w:val="%8)"/>
      <w:lvlJc w:val="left"/>
      <w:pPr>
        <w:tabs>
          <w:tab w:val="left" w:pos="363"/>
        </w:tabs>
        <w:ind w:left="0" w:firstLine="363"/>
      </w:pPr>
      <w:rPr>
        <w:rFonts w:hint="eastAsia"/>
      </w:rPr>
    </w:lvl>
    <w:lvl w:ilvl="8" w:tentative="0">
      <w:start w:val="1"/>
      <w:numFmt w:val="lowerRoman"/>
      <w:lvlText w:val="%9."/>
      <w:lvlJc w:val="right"/>
      <w:pPr>
        <w:tabs>
          <w:tab w:val="left" w:pos="363"/>
        </w:tabs>
        <w:ind w:left="0" w:firstLine="363"/>
      </w:pPr>
      <w:rPr>
        <w:rFonts w:hint="eastAsia"/>
      </w:rPr>
    </w:lvl>
  </w:abstractNum>
  <w:abstractNum w:abstractNumId="5">
    <w:nsid w:val="0BDC1670"/>
    <w:multiLevelType w:val="multilevel"/>
    <w:tmpl w:val="0BDC1670"/>
    <w:lvl w:ilvl="0" w:tentative="0">
      <w:start w:val="1"/>
      <w:numFmt w:val="decimal"/>
      <w:pStyle w:val="72"/>
      <w:lvlText w:val="[%1]"/>
      <w:lvlJc w:val="left"/>
      <w:pPr>
        <w:ind w:left="823"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0D051F45"/>
    <w:multiLevelType w:val="multilevel"/>
    <w:tmpl w:val="0D051F45"/>
    <w:lvl w:ilvl="0" w:tentative="0">
      <w:start w:val="1"/>
      <w:numFmt w:val="lowerRoman"/>
      <w:pStyle w:val="174"/>
      <w:lvlText w:val="%1)"/>
      <w:lvlJc w:val="left"/>
      <w:pPr>
        <w:tabs>
          <w:tab w:val="left" w:pos="851"/>
        </w:tabs>
        <w:ind w:left="851" w:hanging="426"/>
      </w:pPr>
      <w:rPr>
        <w:rFonts w:hint="eastAsia" w:ascii="宋体" w:hAnsi="Times New Roman" w:eastAsia="宋体"/>
        <w:sz w:val="21"/>
      </w:rPr>
    </w:lvl>
    <w:lvl w:ilvl="1" w:tentative="0">
      <w:start w:val="1"/>
      <w:numFmt w:val="lowerLetter"/>
      <w:lvlText w:val="%2)"/>
      <w:lvlJc w:val="left"/>
      <w:pPr>
        <w:tabs>
          <w:tab w:val="left" w:pos="1543"/>
        </w:tabs>
        <w:ind w:left="1543" w:hanging="420"/>
      </w:pPr>
      <w:rPr>
        <w:rFonts w:hint="eastAsia"/>
      </w:rPr>
    </w:lvl>
    <w:lvl w:ilvl="2" w:tentative="0">
      <w:start w:val="1"/>
      <w:numFmt w:val="lowerRoman"/>
      <w:lvlText w:val="%3."/>
      <w:lvlJc w:val="right"/>
      <w:pPr>
        <w:tabs>
          <w:tab w:val="left" w:pos="1963"/>
        </w:tabs>
        <w:ind w:left="1963" w:hanging="420"/>
      </w:pPr>
      <w:rPr>
        <w:rFonts w:hint="eastAsia"/>
      </w:rPr>
    </w:lvl>
    <w:lvl w:ilvl="3" w:tentative="0">
      <w:start w:val="1"/>
      <w:numFmt w:val="decimal"/>
      <w:lvlText w:val="%4."/>
      <w:lvlJc w:val="left"/>
      <w:pPr>
        <w:tabs>
          <w:tab w:val="left" w:pos="2383"/>
        </w:tabs>
        <w:ind w:left="2383" w:hanging="420"/>
      </w:pPr>
      <w:rPr>
        <w:rFonts w:hint="eastAsia"/>
      </w:rPr>
    </w:lvl>
    <w:lvl w:ilvl="4" w:tentative="0">
      <w:start w:val="1"/>
      <w:numFmt w:val="lowerLetter"/>
      <w:lvlText w:val="%5)"/>
      <w:lvlJc w:val="left"/>
      <w:pPr>
        <w:tabs>
          <w:tab w:val="left" w:pos="2803"/>
        </w:tabs>
        <w:ind w:left="2803" w:hanging="420"/>
      </w:pPr>
      <w:rPr>
        <w:rFonts w:hint="eastAsia"/>
      </w:rPr>
    </w:lvl>
    <w:lvl w:ilvl="5" w:tentative="0">
      <w:start w:val="1"/>
      <w:numFmt w:val="lowerRoman"/>
      <w:lvlText w:val="%6."/>
      <w:lvlJc w:val="right"/>
      <w:pPr>
        <w:tabs>
          <w:tab w:val="left" w:pos="3223"/>
        </w:tabs>
        <w:ind w:left="3223" w:hanging="420"/>
      </w:pPr>
      <w:rPr>
        <w:rFonts w:hint="eastAsia"/>
      </w:rPr>
    </w:lvl>
    <w:lvl w:ilvl="6" w:tentative="0">
      <w:start w:val="1"/>
      <w:numFmt w:val="decimal"/>
      <w:lvlText w:val="%7."/>
      <w:lvlJc w:val="left"/>
      <w:pPr>
        <w:tabs>
          <w:tab w:val="left" w:pos="3643"/>
        </w:tabs>
        <w:ind w:left="3643" w:hanging="420"/>
      </w:pPr>
      <w:rPr>
        <w:rFonts w:hint="eastAsia"/>
      </w:rPr>
    </w:lvl>
    <w:lvl w:ilvl="7" w:tentative="0">
      <w:start w:val="1"/>
      <w:numFmt w:val="lowerLetter"/>
      <w:lvlText w:val="%8)"/>
      <w:lvlJc w:val="left"/>
      <w:pPr>
        <w:tabs>
          <w:tab w:val="left" w:pos="4063"/>
        </w:tabs>
        <w:ind w:left="4063" w:hanging="420"/>
      </w:pPr>
      <w:rPr>
        <w:rFonts w:hint="eastAsia"/>
      </w:rPr>
    </w:lvl>
    <w:lvl w:ilvl="8" w:tentative="0">
      <w:start w:val="1"/>
      <w:numFmt w:val="lowerRoman"/>
      <w:lvlText w:val="%9."/>
      <w:lvlJc w:val="right"/>
      <w:pPr>
        <w:tabs>
          <w:tab w:val="left" w:pos="4483"/>
        </w:tabs>
        <w:ind w:left="4483" w:hanging="420"/>
      </w:pPr>
      <w:rPr>
        <w:rFonts w:hint="eastAsia"/>
      </w:rPr>
    </w:lvl>
  </w:abstractNum>
  <w:abstractNum w:abstractNumId="7">
    <w:nsid w:val="1AD20F90"/>
    <w:multiLevelType w:val="multilevel"/>
    <w:tmpl w:val="1AD20F90"/>
    <w:lvl w:ilvl="0" w:tentative="0">
      <w:start w:val="1"/>
      <w:numFmt w:val="none"/>
      <w:pStyle w:val="115"/>
      <w:lvlText w:val="%1注："/>
      <w:lvlJc w:val="left"/>
      <w:pPr>
        <w:tabs>
          <w:tab w:val="left" w:pos="845"/>
        </w:tabs>
        <w:ind w:left="-102" w:firstLine="419"/>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1AF15012"/>
    <w:multiLevelType w:val="multilevel"/>
    <w:tmpl w:val="1AF15012"/>
    <w:lvl w:ilvl="0" w:tentative="0">
      <w:start w:val="1"/>
      <w:numFmt w:val="upperLetter"/>
      <w:pStyle w:val="90"/>
      <w:suff w:val="nothing"/>
      <w:lvlText w:val="附 录(Annex) %1"/>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9">
    <w:nsid w:val="1EAA1992"/>
    <w:multiLevelType w:val="multilevel"/>
    <w:tmpl w:val="1EAA1992"/>
    <w:lvl w:ilvl="0" w:tentative="0">
      <w:start w:val="1"/>
      <w:numFmt w:val="none"/>
      <w:pStyle w:val="97"/>
      <w:suff w:val="nothing"/>
      <w:lvlText w:val="——"/>
      <w:lvlJc w:val="left"/>
      <w:pPr>
        <w:ind w:left="794" w:hanging="397"/>
      </w:pPr>
    </w:lvl>
    <w:lvl w:ilvl="1" w:tentative="0">
      <w:start w:val="1"/>
      <w:numFmt w:val="decimal"/>
      <w:suff w:val="nothing"/>
      <w:lvlText w:val="%1.%2　"/>
      <w:lvlJc w:val="left"/>
      <w:pPr>
        <w:ind w:left="397" w:firstLine="0"/>
      </w:pPr>
    </w:lvl>
    <w:lvl w:ilvl="2" w:tentative="0">
      <w:start w:val="1"/>
      <w:numFmt w:val="decimal"/>
      <w:suff w:val="nothing"/>
      <w:lvlText w:val="%1.%2.%3　"/>
      <w:lvlJc w:val="left"/>
      <w:pPr>
        <w:ind w:left="397" w:firstLine="0"/>
      </w:pPr>
    </w:lvl>
    <w:lvl w:ilvl="3" w:tentative="0">
      <w:start w:val="1"/>
      <w:numFmt w:val="decimal"/>
      <w:suff w:val="nothing"/>
      <w:lvlText w:val="%1.%2.%3.%4　"/>
      <w:lvlJc w:val="left"/>
      <w:pPr>
        <w:ind w:left="397" w:firstLine="0"/>
      </w:pPr>
    </w:lvl>
    <w:lvl w:ilvl="4" w:tentative="0">
      <w:start w:val="1"/>
      <w:numFmt w:val="decimal"/>
      <w:suff w:val="nothing"/>
      <w:lvlText w:val="%1.%2.%3.%4.%5　"/>
      <w:lvlJc w:val="left"/>
      <w:pPr>
        <w:ind w:left="397" w:firstLine="0"/>
      </w:pPr>
    </w:lvl>
    <w:lvl w:ilvl="5" w:tentative="0">
      <w:start w:val="1"/>
      <w:numFmt w:val="decimal"/>
      <w:suff w:val="nothing"/>
      <w:lvlText w:val="%1.%2.%3.%4.%5.%6　"/>
      <w:lvlJc w:val="left"/>
      <w:pPr>
        <w:ind w:left="397" w:firstLine="0"/>
      </w:pPr>
    </w:lvl>
    <w:lvl w:ilvl="6" w:tentative="0">
      <w:start w:val="1"/>
      <w:numFmt w:val="decimal"/>
      <w:suff w:val="nothing"/>
      <w:lvlText w:val="%1.%2.%3.%4.%5.%6.%7　"/>
      <w:lvlJc w:val="left"/>
      <w:pPr>
        <w:ind w:left="397" w:firstLine="0"/>
      </w:pPr>
    </w:lvl>
    <w:lvl w:ilvl="7" w:tentative="0">
      <w:start w:val="1"/>
      <w:numFmt w:val="decimal"/>
      <w:lvlText w:val="%1.%2.%3.%4.%5.%6.%7.%8"/>
      <w:lvlJc w:val="left"/>
      <w:pPr>
        <w:tabs>
          <w:tab w:val="left" w:pos="4791"/>
        </w:tabs>
        <w:ind w:left="4791" w:hanging="1418"/>
      </w:pPr>
    </w:lvl>
    <w:lvl w:ilvl="8" w:tentative="0">
      <w:start w:val="1"/>
      <w:numFmt w:val="decimal"/>
      <w:lvlText w:val="%1.%2.%3.%4.%5.%6.%7.%8.%9"/>
      <w:lvlJc w:val="left"/>
      <w:pPr>
        <w:tabs>
          <w:tab w:val="left" w:pos="5499"/>
        </w:tabs>
        <w:ind w:left="5499" w:hanging="1700"/>
      </w:pPr>
    </w:lvl>
  </w:abstractNum>
  <w:abstractNum w:abstractNumId="10">
    <w:nsid w:val="2C5917C3"/>
    <w:multiLevelType w:val="multilevel"/>
    <w:tmpl w:val="2C5917C3"/>
    <w:lvl w:ilvl="0" w:tentative="0">
      <w:start w:val="1"/>
      <w:numFmt w:val="none"/>
      <w:pStyle w:val="137"/>
      <w:lvlText w:val="%1——"/>
      <w:lvlJc w:val="left"/>
      <w:pPr>
        <w:tabs>
          <w:tab w:val="left" w:pos="851"/>
        </w:tabs>
        <w:ind w:left="851" w:hanging="426"/>
      </w:pPr>
      <w:rPr>
        <w:rFonts w:hint="eastAsia" w:ascii="宋体" w:hAnsi="Times New Roman" w:eastAsia="宋体"/>
        <w:b w:val="0"/>
        <w:i w:val="0"/>
        <w:sz w:val="21"/>
      </w:rPr>
    </w:lvl>
    <w:lvl w:ilvl="1" w:tentative="0">
      <w:start w:val="1"/>
      <w:numFmt w:val="none"/>
      <w:pStyle w:val="192"/>
      <w:lvlText w:val=""/>
      <w:lvlJc w:val="left"/>
      <w:pPr>
        <w:ind w:left="851" w:hanging="431"/>
      </w:pPr>
      <w:rPr>
        <w:rFonts w:hint="default" w:ascii="Symbol" w:hAnsi="Symbol"/>
        <w:sz w:val="21"/>
      </w:rPr>
    </w:lvl>
    <w:lvl w:ilvl="2" w:tentative="0">
      <w:start w:val="1"/>
      <w:numFmt w:val="bullet"/>
      <w:pStyle w:val="177"/>
      <w:lvlText w:val=""/>
      <w:lvlJc w:val="left"/>
      <w:pPr>
        <w:ind w:left="851" w:hanging="426"/>
      </w:pPr>
      <w:rPr>
        <w:rFonts w:hint="default" w:ascii="Wingdings" w:hAnsi="Wingdings"/>
        <w:sz w:val="21"/>
      </w:rPr>
    </w:lvl>
    <w:lvl w:ilvl="3" w:tentative="0">
      <w:start w:val="1"/>
      <w:numFmt w:val="decimal"/>
      <w:lvlText w:val="%4."/>
      <w:lvlJc w:val="left"/>
      <w:pPr>
        <w:tabs>
          <w:tab w:val="left" w:pos="2071"/>
        </w:tabs>
        <w:ind w:left="1884" w:hanging="528"/>
      </w:pPr>
      <w:rPr>
        <w:rFonts w:hint="eastAsia"/>
      </w:rPr>
    </w:lvl>
    <w:lvl w:ilvl="4" w:tentative="0">
      <w:start w:val="1"/>
      <w:numFmt w:val="lowerLetter"/>
      <w:lvlText w:val="%5)"/>
      <w:lvlJc w:val="left"/>
      <w:pPr>
        <w:tabs>
          <w:tab w:val="left" w:pos="2383"/>
        </w:tabs>
        <w:ind w:left="2196" w:hanging="528"/>
      </w:pPr>
      <w:rPr>
        <w:rFonts w:hint="eastAsia"/>
      </w:rPr>
    </w:lvl>
    <w:lvl w:ilvl="5" w:tentative="0">
      <w:start w:val="1"/>
      <w:numFmt w:val="lowerRoman"/>
      <w:lvlText w:val="%6."/>
      <w:lvlJc w:val="right"/>
      <w:pPr>
        <w:tabs>
          <w:tab w:val="left" w:pos="2695"/>
        </w:tabs>
        <w:ind w:left="2508" w:hanging="528"/>
      </w:pPr>
      <w:rPr>
        <w:rFonts w:hint="eastAsia"/>
      </w:rPr>
    </w:lvl>
    <w:lvl w:ilvl="6" w:tentative="0">
      <w:start w:val="1"/>
      <w:numFmt w:val="decimal"/>
      <w:lvlText w:val="%7."/>
      <w:lvlJc w:val="left"/>
      <w:pPr>
        <w:tabs>
          <w:tab w:val="left" w:pos="3007"/>
        </w:tabs>
        <w:ind w:left="2820" w:hanging="528"/>
      </w:pPr>
      <w:rPr>
        <w:rFonts w:hint="eastAsia"/>
      </w:rPr>
    </w:lvl>
    <w:lvl w:ilvl="7" w:tentative="0">
      <w:start w:val="1"/>
      <w:numFmt w:val="lowerLetter"/>
      <w:lvlText w:val="%8)"/>
      <w:lvlJc w:val="left"/>
      <w:pPr>
        <w:tabs>
          <w:tab w:val="left" w:pos="3319"/>
        </w:tabs>
        <w:ind w:left="3132" w:hanging="528"/>
      </w:pPr>
      <w:rPr>
        <w:rFonts w:hint="eastAsia"/>
      </w:rPr>
    </w:lvl>
    <w:lvl w:ilvl="8" w:tentative="0">
      <w:start w:val="1"/>
      <w:numFmt w:val="lowerRoman"/>
      <w:lvlText w:val="%9."/>
      <w:lvlJc w:val="right"/>
      <w:pPr>
        <w:tabs>
          <w:tab w:val="left" w:pos="3631"/>
        </w:tabs>
        <w:ind w:left="3444" w:hanging="528"/>
      </w:pPr>
      <w:rPr>
        <w:rFonts w:hint="eastAsia"/>
      </w:rPr>
    </w:lvl>
  </w:abstractNum>
  <w:abstractNum w:abstractNumId="11">
    <w:nsid w:val="32F04FB2"/>
    <w:multiLevelType w:val="multilevel"/>
    <w:tmpl w:val="32F04FB2"/>
    <w:lvl w:ilvl="0" w:tentative="0">
      <w:start w:val="1"/>
      <w:numFmt w:val="lowerLetter"/>
      <w:pStyle w:val="106"/>
      <w:lvlText w:val="%1"/>
      <w:lvlJc w:val="left"/>
      <w:pPr>
        <w:tabs>
          <w:tab w:val="left" w:pos="539"/>
        </w:tabs>
        <w:ind w:left="539" w:hanging="119"/>
      </w:pPr>
      <w:rPr>
        <w:rFonts w:hint="eastAsia"/>
        <w:caps w:val="0"/>
        <w:strike w:val="0"/>
        <w:dstrike w:val="0"/>
        <w:vanish w:val="0"/>
        <w:vertAlign w:val="superscript"/>
      </w:rPr>
    </w:lvl>
    <w:lvl w:ilvl="1" w:tentative="0">
      <w:start w:val="1"/>
      <w:numFmt w:val="lowerLetter"/>
      <w:lvlText w:val="%2)"/>
      <w:lvlJc w:val="left"/>
      <w:pPr>
        <w:ind w:left="1040" w:hanging="420"/>
      </w:pPr>
      <w:rPr>
        <w:rFonts w:hint="eastAsia"/>
      </w:rPr>
    </w:lvl>
    <w:lvl w:ilvl="2" w:tentative="0">
      <w:start w:val="1"/>
      <w:numFmt w:val="lowerRoman"/>
      <w:lvlText w:val="%3."/>
      <w:lvlJc w:val="right"/>
      <w:pPr>
        <w:ind w:left="1460" w:hanging="420"/>
      </w:pPr>
      <w:rPr>
        <w:rFonts w:hint="eastAsia"/>
      </w:rPr>
    </w:lvl>
    <w:lvl w:ilvl="3" w:tentative="0">
      <w:start w:val="1"/>
      <w:numFmt w:val="decimal"/>
      <w:lvlText w:val="%4."/>
      <w:lvlJc w:val="left"/>
      <w:pPr>
        <w:ind w:left="1880" w:hanging="420"/>
      </w:pPr>
      <w:rPr>
        <w:rFonts w:hint="eastAsia"/>
      </w:rPr>
    </w:lvl>
    <w:lvl w:ilvl="4" w:tentative="0">
      <w:start w:val="1"/>
      <w:numFmt w:val="lowerLetter"/>
      <w:lvlText w:val="%5)"/>
      <w:lvlJc w:val="left"/>
      <w:pPr>
        <w:ind w:left="2300" w:hanging="420"/>
      </w:pPr>
      <w:rPr>
        <w:rFonts w:hint="eastAsia"/>
      </w:rPr>
    </w:lvl>
    <w:lvl w:ilvl="5" w:tentative="0">
      <w:start w:val="1"/>
      <w:numFmt w:val="lowerRoman"/>
      <w:lvlText w:val="%6."/>
      <w:lvlJc w:val="right"/>
      <w:pPr>
        <w:ind w:left="2720" w:hanging="420"/>
      </w:pPr>
      <w:rPr>
        <w:rFonts w:hint="eastAsia"/>
      </w:rPr>
    </w:lvl>
    <w:lvl w:ilvl="6" w:tentative="0">
      <w:start w:val="1"/>
      <w:numFmt w:val="decimal"/>
      <w:lvlText w:val="%7."/>
      <w:lvlJc w:val="left"/>
      <w:pPr>
        <w:ind w:left="3140" w:hanging="420"/>
      </w:pPr>
      <w:rPr>
        <w:rFonts w:hint="eastAsia"/>
      </w:rPr>
    </w:lvl>
    <w:lvl w:ilvl="7" w:tentative="0">
      <w:start w:val="1"/>
      <w:numFmt w:val="lowerLetter"/>
      <w:lvlText w:val="%8)"/>
      <w:lvlJc w:val="left"/>
      <w:pPr>
        <w:ind w:left="3560" w:hanging="420"/>
      </w:pPr>
      <w:rPr>
        <w:rFonts w:hint="eastAsia"/>
      </w:rPr>
    </w:lvl>
    <w:lvl w:ilvl="8" w:tentative="0">
      <w:start w:val="1"/>
      <w:numFmt w:val="lowerRoman"/>
      <w:lvlText w:val="%9."/>
      <w:lvlJc w:val="right"/>
      <w:pPr>
        <w:ind w:left="3980" w:hanging="420"/>
      </w:pPr>
      <w:rPr>
        <w:rFonts w:hint="eastAsia"/>
      </w:rPr>
    </w:lvl>
  </w:abstractNum>
  <w:abstractNum w:abstractNumId="12">
    <w:nsid w:val="44C50F90"/>
    <w:multiLevelType w:val="multilevel"/>
    <w:tmpl w:val="44C50F90"/>
    <w:lvl w:ilvl="0" w:tentative="0">
      <w:start w:val="1"/>
      <w:numFmt w:val="lowerLetter"/>
      <w:pStyle w:val="179"/>
      <w:lvlText w:val="%1)"/>
      <w:lvlJc w:val="left"/>
      <w:pPr>
        <w:tabs>
          <w:tab w:val="left" w:pos="851"/>
        </w:tabs>
        <w:ind w:left="851" w:hanging="426"/>
      </w:pPr>
      <w:rPr>
        <w:rFonts w:hint="eastAsia" w:ascii="宋体" w:hAnsi="Times New Roman" w:eastAsia="宋体"/>
        <w:sz w:val="21"/>
      </w:rPr>
    </w:lvl>
    <w:lvl w:ilvl="1" w:tentative="0">
      <w:start w:val="1"/>
      <w:numFmt w:val="decimal"/>
      <w:pStyle w:val="114"/>
      <w:lvlText w:val="%2)"/>
      <w:lvlJc w:val="left"/>
      <w:pPr>
        <w:tabs>
          <w:tab w:val="left" w:pos="1276"/>
        </w:tabs>
        <w:ind w:left="1276" w:hanging="425"/>
      </w:pPr>
      <w:rPr>
        <w:rFonts w:hint="eastAsia" w:ascii="宋体" w:hAnsi="Times New Roman" w:eastAsia="宋体"/>
        <w:sz w:val="21"/>
      </w:rPr>
    </w:lvl>
    <w:lvl w:ilvl="2" w:tentative="0">
      <w:start w:val="1"/>
      <w:numFmt w:val="decimal"/>
      <w:pStyle w:val="122"/>
      <w:lvlText w:val="(%3)"/>
      <w:lvlJc w:val="left"/>
      <w:pPr>
        <w:ind w:left="1701" w:hanging="425"/>
      </w:pPr>
      <w:rPr>
        <w:rFonts w:hint="eastAsia" w:ascii="宋体" w:hAnsi="Times New Roman" w:eastAsia="宋体"/>
        <w:sz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13">
    <w:nsid w:val="48802D1C"/>
    <w:multiLevelType w:val="multilevel"/>
    <w:tmpl w:val="48802D1C"/>
    <w:lvl w:ilvl="0" w:tentative="0">
      <w:start w:val="1"/>
      <w:numFmt w:val="upperLetter"/>
      <w:pStyle w:val="203"/>
      <w:lvlText w:val="%1"/>
      <w:lvlJc w:val="left"/>
      <w:pPr>
        <w:ind w:left="420" w:hanging="420"/>
      </w:pPr>
      <w:rPr>
        <w:rFonts w:hint="eastAsia"/>
      </w:rPr>
    </w:lvl>
    <w:lvl w:ilvl="1" w:tentative="0">
      <w:start w:val="1"/>
      <w:numFmt w:val="decimal"/>
      <w:pStyle w:val="88"/>
      <w:suff w:val="space"/>
      <w:lvlText w:val="图%1.%2"/>
      <w:lvlJc w:val="center"/>
      <w:pPr>
        <w:ind w:left="0" w:firstLine="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4">
    <w:nsid w:val="4B733A5F"/>
    <w:multiLevelType w:val="multilevel"/>
    <w:tmpl w:val="4B733A5F"/>
    <w:lvl w:ilvl="0" w:tentative="0">
      <w:start w:val="1"/>
      <w:numFmt w:val="decimal"/>
      <w:pStyle w:val="188"/>
      <w:suff w:val="nothing"/>
      <w:lvlText w:val="示例%1："/>
      <w:lvlJc w:val="left"/>
      <w:pPr>
        <w:ind w:left="0" w:firstLine="363"/>
      </w:pPr>
      <w:rPr>
        <w:rFonts w:hint="eastAsia" w:ascii="黑体" w:eastAsia="黑体"/>
        <w:b w:val="0"/>
        <w:i w:val="0"/>
        <w:sz w:val="18"/>
      </w:rPr>
    </w:lvl>
    <w:lvl w:ilvl="1" w:tentative="0">
      <w:start w:val="1"/>
      <w:numFmt w:val="none"/>
      <w:suff w:val="space"/>
      <w:lvlText w:val=""/>
      <w:lvlJc w:val="left"/>
      <w:pPr>
        <w:ind w:left="0" w:firstLine="0"/>
      </w:pPr>
      <w:rPr>
        <w:rFonts w:hint="eastAsia"/>
      </w:rPr>
    </w:lvl>
    <w:lvl w:ilvl="2" w:tentative="0">
      <w:start w:val="1"/>
      <w:numFmt w:val="decimal"/>
      <w:suff w:val="space"/>
      <w:lvlText w:val="2.2.%3"/>
      <w:lvlJc w:val="left"/>
      <w:pPr>
        <w:ind w:left="0" w:firstLine="0"/>
      </w:pPr>
      <w:rPr>
        <w:rFonts w:hint="eastAsia"/>
      </w:rPr>
    </w:lvl>
    <w:lvl w:ilvl="3" w:tentative="0">
      <w:start w:val="1"/>
      <w:numFmt w:val="decimal"/>
      <w:lvlText w:val="%4."/>
      <w:lvlJc w:val="left"/>
      <w:pPr>
        <w:tabs>
          <w:tab w:val="left" w:pos="0"/>
        </w:tabs>
        <w:ind w:left="992" w:hanging="629"/>
      </w:pPr>
      <w:rPr>
        <w:rFonts w:hint="eastAsia"/>
      </w:rPr>
    </w:lvl>
    <w:lvl w:ilvl="4" w:tentative="0">
      <w:start w:val="1"/>
      <w:numFmt w:val="lowerLetter"/>
      <w:lvlText w:val="%5)"/>
      <w:lvlJc w:val="left"/>
      <w:pPr>
        <w:tabs>
          <w:tab w:val="left" w:pos="0"/>
        </w:tabs>
        <w:ind w:left="992" w:hanging="629"/>
      </w:pPr>
      <w:rPr>
        <w:rFonts w:hint="eastAsia"/>
      </w:rPr>
    </w:lvl>
    <w:lvl w:ilvl="5" w:tentative="0">
      <w:start w:val="1"/>
      <w:numFmt w:val="lowerRoman"/>
      <w:lvlText w:val="%6."/>
      <w:lvlJc w:val="right"/>
      <w:pPr>
        <w:tabs>
          <w:tab w:val="left" w:pos="0"/>
        </w:tabs>
        <w:ind w:left="992" w:hanging="629"/>
      </w:pPr>
      <w:rPr>
        <w:rFonts w:hint="eastAsia"/>
      </w:rPr>
    </w:lvl>
    <w:lvl w:ilvl="6" w:tentative="0">
      <w:start w:val="1"/>
      <w:numFmt w:val="decimal"/>
      <w:lvlText w:val="%7."/>
      <w:lvlJc w:val="left"/>
      <w:pPr>
        <w:tabs>
          <w:tab w:val="left" w:pos="0"/>
        </w:tabs>
        <w:ind w:left="992" w:hanging="629"/>
      </w:pPr>
      <w:rPr>
        <w:rFonts w:hint="eastAsia"/>
      </w:rPr>
    </w:lvl>
    <w:lvl w:ilvl="7" w:tentative="0">
      <w:start w:val="1"/>
      <w:numFmt w:val="lowerLetter"/>
      <w:lvlText w:val="%8)"/>
      <w:lvlJc w:val="left"/>
      <w:pPr>
        <w:tabs>
          <w:tab w:val="left" w:pos="0"/>
        </w:tabs>
        <w:ind w:left="992" w:hanging="629"/>
      </w:pPr>
      <w:rPr>
        <w:rFonts w:hint="eastAsia"/>
      </w:rPr>
    </w:lvl>
    <w:lvl w:ilvl="8" w:tentative="0">
      <w:start w:val="1"/>
      <w:numFmt w:val="lowerRoman"/>
      <w:lvlText w:val="%9."/>
      <w:lvlJc w:val="right"/>
      <w:pPr>
        <w:tabs>
          <w:tab w:val="left" w:pos="0"/>
        </w:tabs>
        <w:ind w:left="992" w:hanging="629"/>
      </w:pPr>
      <w:rPr>
        <w:rFonts w:hint="eastAsia"/>
      </w:rPr>
    </w:lvl>
  </w:abstractNum>
  <w:abstractNum w:abstractNumId="15">
    <w:nsid w:val="4C89AA8D"/>
    <w:multiLevelType w:val="multilevel"/>
    <w:tmpl w:val="4C89AA8D"/>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4E5D0534"/>
    <w:multiLevelType w:val="multilevel"/>
    <w:tmpl w:val="4E5D0534"/>
    <w:lvl w:ilvl="0" w:tentative="0">
      <w:start w:val="1"/>
      <w:numFmt w:val="decimal"/>
      <w:pStyle w:val="121"/>
      <w:suff w:val="nothing"/>
      <w:lvlText w:val="Figure %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17">
    <w:nsid w:val="54632751"/>
    <w:multiLevelType w:val="multilevel"/>
    <w:tmpl w:val="54632751"/>
    <w:lvl w:ilvl="0" w:tentative="0">
      <w:start w:val="1"/>
      <w:numFmt w:val="none"/>
      <w:pStyle w:val="98"/>
      <w:suff w:val="nothing"/>
      <w:lvlText w:val="——"/>
      <w:lvlJc w:val="left"/>
      <w:pPr>
        <w:ind w:left="1588" w:firstLine="0"/>
      </w:pPr>
    </w:lvl>
    <w:lvl w:ilvl="1" w:tentative="0">
      <w:start w:val="1"/>
      <w:numFmt w:val="decimal"/>
      <w:suff w:val="nothing"/>
      <w:lvlText w:val="%1.%2　"/>
      <w:lvlJc w:val="left"/>
      <w:pPr>
        <w:ind w:left="1588" w:firstLine="0"/>
      </w:pPr>
    </w:lvl>
    <w:lvl w:ilvl="2" w:tentative="0">
      <w:start w:val="1"/>
      <w:numFmt w:val="decimal"/>
      <w:suff w:val="nothing"/>
      <w:lvlText w:val="%1.%2.%3　"/>
      <w:lvlJc w:val="left"/>
      <w:pPr>
        <w:ind w:left="1588" w:firstLine="0"/>
      </w:pPr>
    </w:lvl>
    <w:lvl w:ilvl="3" w:tentative="0">
      <w:start w:val="1"/>
      <w:numFmt w:val="decimal"/>
      <w:suff w:val="nothing"/>
      <w:lvlText w:val="%1.%2.%3.%4　"/>
      <w:lvlJc w:val="left"/>
      <w:pPr>
        <w:ind w:left="1588" w:firstLine="0"/>
      </w:pPr>
    </w:lvl>
    <w:lvl w:ilvl="4" w:tentative="0">
      <w:start w:val="1"/>
      <w:numFmt w:val="decimal"/>
      <w:suff w:val="nothing"/>
      <w:lvlText w:val="%1.%2.%3.%4.%5　"/>
      <w:lvlJc w:val="left"/>
      <w:pPr>
        <w:ind w:left="1588" w:firstLine="0"/>
      </w:pPr>
    </w:lvl>
    <w:lvl w:ilvl="5" w:tentative="0">
      <w:start w:val="1"/>
      <w:numFmt w:val="decimal"/>
      <w:suff w:val="nothing"/>
      <w:lvlText w:val="%1.%2.%3.%4.%5.%6　"/>
      <w:lvlJc w:val="left"/>
      <w:pPr>
        <w:ind w:left="1588" w:firstLine="0"/>
      </w:pPr>
    </w:lvl>
    <w:lvl w:ilvl="6" w:tentative="0">
      <w:start w:val="1"/>
      <w:numFmt w:val="decimal"/>
      <w:suff w:val="nothing"/>
      <w:lvlText w:val="%1.%2.%3.%4.%5.%6.%7　"/>
      <w:lvlJc w:val="left"/>
      <w:pPr>
        <w:ind w:left="1588" w:firstLine="0"/>
      </w:pPr>
    </w:lvl>
    <w:lvl w:ilvl="7" w:tentative="0">
      <w:start w:val="1"/>
      <w:numFmt w:val="decimal"/>
      <w:lvlText w:val="%1.%2.%3.%4.%5.%6.%7.%8"/>
      <w:lvlJc w:val="left"/>
      <w:pPr>
        <w:tabs>
          <w:tab w:val="left" w:pos="5982"/>
        </w:tabs>
        <w:ind w:left="5982" w:hanging="1418"/>
      </w:pPr>
    </w:lvl>
    <w:lvl w:ilvl="8" w:tentative="0">
      <w:start w:val="1"/>
      <w:numFmt w:val="decimal"/>
      <w:lvlText w:val="%1.%2.%3.%4.%5.%6.%7.%8.%9"/>
      <w:lvlJc w:val="left"/>
      <w:pPr>
        <w:tabs>
          <w:tab w:val="left" w:pos="6690"/>
        </w:tabs>
        <w:ind w:left="6690" w:hanging="1700"/>
      </w:pPr>
    </w:lvl>
  </w:abstractNum>
  <w:abstractNum w:abstractNumId="18">
    <w:nsid w:val="557C2AF5"/>
    <w:multiLevelType w:val="multilevel"/>
    <w:tmpl w:val="557C2AF5"/>
    <w:lvl w:ilvl="0" w:tentative="0">
      <w:start w:val="1"/>
      <w:numFmt w:val="decimal"/>
      <w:pStyle w:val="119"/>
      <w:suff w:val="nothing"/>
      <w:lvlText w:val="图%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19">
    <w:nsid w:val="5603797C"/>
    <w:multiLevelType w:val="multilevel"/>
    <w:tmpl w:val="5603797C"/>
    <w:lvl w:ilvl="0" w:tentative="0">
      <w:start w:val="1"/>
      <w:numFmt w:val="upperLetter"/>
      <w:pStyle w:val="204"/>
      <w:suff w:val="space"/>
      <w:lvlText w:val="%1"/>
      <w:lvlJc w:val="left"/>
      <w:pPr>
        <w:ind w:left="425" w:hanging="425"/>
      </w:pPr>
      <w:rPr>
        <w:rFonts w:hint="eastAsia"/>
      </w:rPr>
    </w:lvl>
    <w:lvl w:ilvl="1" w:tentative="0">
      <w:start w:val="1"/>
      <w:numFmt w:val="decimal"/>
      <w:pStyle w:val="82"/>
      <w:suff w:val="space"/>
      <w:lvlText w:val="表%1.%2"/>
      <w:lvlJc w:val="center"/>
      <w:pPr>
        <w:ind w:left="0" w:firstLine="0"/>
      </w:pPr>
      <w:rPr>
        <w:rFonts w:hint="eastAsia" w:ascii="黑体" w:eastAsia="黑体"/>
        <w:sz w:val="21"/>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0">
    <w:nsid w:val="564D2089"/>
    <w:multiLevelType w:val="multilevel"/>
    <w:tmpl w:val="564D2089"/>
    <w:lvl w:ilvl="0" w:tentative="0">
      <w:start w:val="1"/>
      <w:numFmt w:val="none"/>
      <w:pStyle w:val="116"/>
      <w:lvlText w:val="%1注"/>
      <w:lvlJc w:val="left"/>
      <w:pPr>
        <w:tabs>
          <w:tab w:val="left" w:pos="760"/>
        </w:tabs>
        <w:ind w:left="760" w:hanging="284"/>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1">
    <w:nsid w:val="644622F9"/>
    <w:multiLevelType w:val="multilevel"/>
    <w:tmpl w:val="644622F9"/>
    <w:lvl w:ilvl="0" w:tentative="0">
      <w:start w:val="1"/>
      <w:numFmt w:val="upperRoman"/>
      <w:pStyle w:val="173"/>
      <w:lvlText w:val="%1)"/>
      <w:lvlJc w:val="left"/>
      <w:pPr>
        <w:tabs>
          <w:tab w:val="left" w:pos="851"/>
        </w:tabs>
        <w:ind w:left="851" w:hanging="426"/>
      </w:pPr>
      <w:rPr>
        <w:rFonts w:hint="eastAsia" w:ascii="宋体" w:hAnsi="Times New Roman" w:eastAsia="宋体"/>
        <w:sz w:val="21"/>
      </w:rPr>
    </w:lvl>
    <w:lvl w:ilvl="1" w:tentative="0">
      <w:start w:val="1"/>
      <w:numFmt w:val="lowerLetter"/>
      <w:lvlText w:val="%2)"/>
      <w:lvlJc w:val="left"/>
      <w:pPr>
        <w:tabs>
          <w:tab w:val="left" w:pos="1310"/>
        </w:tabs>
        <w:ind w:left="1310" w:hanging="420"/>
      </w:pPr>
      <w:rPr>
        <w:rFonts w:hint="eastAsia"/>
      </w:rPr>
    </w:lvl>
    <w:lvl w:ilvl="2" w:tentative="0">
      <w:start w:val="1"/>
      <w:numFmt w:val="lowerRoman"/>
      <w:lvlText w:val="%3."/>
      <w:lvlJc w:val="right"/>
      <w:pPr>
        <w:tabs>
          <w:tab w:val="left" w:pos="1730"/>
        </w:tabs>
        <w:ind w:left="1730" w:hanging="420"/>
      </w:pPr>
      <w:rPr>
        <w:rFonts w:hint="eastAsia"/>
      </w:rPr>
    </w:lvl>
    <w:lvl w:ilvl="3" w:tentative="0">
      <w:start w:val="1"/>
      <w:numFmt w:val="decimal"/>
      <w:lvlText w:val="%4."/>
      <w:lvlJc w:val="left"/>
      <w:pPr>
        <w:tabs>
          <w:tab w:val="left" w:pos="2150"/>
        </w:tabs>
        <w:ind w:left="2150" w:hanging="420"/>
      </w:pPr>
      <w:rPr>
        <w:rFonts w:hint="eastAsia"/>
      </w:rPr>
    </w:lvl>
    <w:lvl w:ilvl="4" w:tentative="0">
      <w:start w:val="1"/>
      <w:numFmt w:val="lowerLetter"/>
      <w:lvlText w:val="%5)"/>
      <w:lvlJc w:val="left"/>
      <w:pPr>
        <w:tabs>
          <w:tab w:val="left" w:pos="2570"/>
        </w:tabs>
        <w:ind w:left="2570" w:hanging="420"/>
      </w:pPr>
      <w:rPr>
        <w:rFonts w:hint="eastAsia"/>
      </w:rPr>
    </w:lvl>
    <w:lvl w:ilvl="5" w:tentative="0">
      <w:start w:val="1"/>
      <w:numFmt w:val="lowerRoman"/>
      <w:lvlText w:val="%6."/>
      <w:lvlJc w:val="right"/>
      <w:pPr>
        <w:tabs>
          <w:tab w:val="left" w:pos="2990"/>
        </w:tabs>
        <w:ind w:left="2990" w:hanging="420"/>
      </w:pPr>
      <w:rPr>
        <w:rFonts w:hint="eastAsia"/>
      </w:rPr>
    </w:lvl>
    <w:lvl w:ilvl="6" w:tentative="0">
      <w:start w:val="1"/>
      <w:numFmt w:val="decimal"/>
      <w:lvlText w:val="%7."/>
      <w:lvlJc w:val="left"/>
      <w:pPr>
        <w:tabs>
          <w:tab w:val="left" w:pos="3410"/>
        </w:tabs>
        <w:ind w:left="3410" w:hanging="420"/>
      </w:pPr>
      <w:rPr>
        <w:rFonts w:hint="eastAsia"/>
      </w:rPr>
    </w:lvl>
    <w:lvl w:ilvl="7" w:tentative="0">
      <w:start w:val="1"/>
      <w:numFmt w:val="lowerLetter"/>
      <w:lvlText w:val="%8)"/>
      <w:lvlJc w:val="left"/>
      <w:pPr>
        <w:tabs>
          <w:tab w:val="left" w:pos="3830"/>
        </w:tabs>
        <w:ind w:left="3830" w:hanging="420"/>
      </w:pPr>
      <w:rPr>
        <w:rFonts w:hint="eastAsia"/>
      </w:rPr>
    </w:lvl>
    <w:lvl w:ilvl="8" w:tentative="0">
      <w:start w:val="1"/>
      <w:numFmt w:val="lowerRoman"/>
      <w:lvlText w:val="%9."/>
      <w:lvlJc w:val="right"/>
      <w:pPr>
        <w:tabs>
          <w:tab w:val="left" w:pos="4250"/>
        </w:tabs>
        <w:ind w:left="4250" w:hanging="420"/>
      </w:pPr>
      <w:rPr>
        <w:rFonts w:hint="eastAsia"/>
      </w:rPr>
    </w:lvl>
  </w:abstractNum>
  <w:abstractNum w:abstractNumId="22">
    <w:nsid w:val="646260FA"/>
    <w:multiLevelType w:val="multilevel"/>
    <w:tmpl w:val="646260FA"/>
    <w:lvl w:ilvl="0" w:tentative="0">
      <w:start w:val="1"/>
      <w:numFmt w:val="decimal"/>
      <w:pStyle w:val="117"/>
      <w:suff w:val="nothing"/>
      <w:lvlText w:val="表%1　"/>
      <w:lvlJc w:val="left"/>
      <w:pPr>
        <w:ind w:left="0" w:firstLine="0"/>
      </w:pPr>
    </w:lvl>
    <w:lvl w:ilvl="1" w:tentative="0">
      <w:start w:val="1"/>
      <w:numFmt w:val="decimal"/>
      <w:lvlText w:val="%1.%2"/>
      <w:lvlJc w:val="left"/>
      <w:pPr>
        <w:tabs>
          <w:tab w:val="left" w:pos="992"/>
        </w:tabs>
        <w:ind w:left="992" w:hanging="567"/>
      </w:pPr>
    </w:lvl>
    <w:lvl w:ilvl="2" w:tentative="0">
      <w:start w:val="1"/>
      <w:numFmt w:val="decimal"/>
      <w:lvlText w:val="%1.%2.%3"/>
      <w:lvlJc w:val="left"/>
      <w:pPr>
        <w:tabs>
          <w:tab w:val="left" w:pos="1417"/>
        </w:tabs>
        <w:ind w:left="1417" w:hanging="567"/>
      </w:pPr>
    </w:lvl>
    <w:lvl w:ilvl="3" w:tentative="0">
      <w:start w:val="1"/>
      <w:numFmt w:val="decimal"/>
      <w:lvlText w:val="%1.%2.%3.%4"/>
      <w:lvlJc w:val="left"/>
      <w:pPr>
        <w:tabs>
          <w:tab w:val="left" w:pos="1984"/>
        </w:tabs>
        <w:ind w:left="1984" w:hanging="708"/>
      </w:pPr>
    </w:lvl>
    <w:lvl w:ilvl="4" w:tentative="0">
      <w:start w:val="1"/>
      <w:numFmt w:val="decimal"/>
      <w:lvlText w:val="%1.%2.%3.%4.%5"/>
      <w:lvlJc w:val="left"/>
      <w:pPr>
        <w:tabs>
          <w:tab w:val="left" w:pos="2551"/>
        </w:tabs>
        <w:ind w:left="2551" w:hanging="850"/>
      </w:pPr>
    </w:lvl>
    <w:lvl w:ilvl="5" w:tentative="0">
      <w:start w:val="1"/>
      <w:numFmt w:val="decimal"/>
      <w:lvlText w:val="%1.%2.%3.%4.%5.%6"/>
      <w:lvlJc w:val="left"/>
      <w:pPr>
        <w:tabs>
          <w:tab w:val="left" w:pos="3260"/>
        </w:tabs>
        <w:ind w:left="3260" w:hanging="1134"/>
      </w:pPr>
    </w:lvl>
    <w:lvl w:ilvl="6" w:tentative="0">
      <w:start w:val="1"/>
      <w:numFmt w:val="decimal"/>
      <w:lvlText w:val="%1.%2.%3.%4.%5.%6.%7"/>
      <w:lvlJc w:val="left"/>
      <w:pPr>
        <w:tabs>
          <w:tab w:val="left" w:pos="3827"/>
        </w:tabs>
        <w:ind w:left="3827" w:hanging="1276"/>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23">
    <w:nsid w:val="654A26C9"/>
    <w:multiLevelType w:val="multilevel"/>
    <w:tmpl w:val="654A26C9"/>
    <w:lvl w:ilvl="0" w:tentative="0">
      <w:start w:val="1"/>
      <w:numFmt w:val="none"/>
      <w:pStyle w:val="194"/>
      <w:lvlText w:val="──"/>
      <w:lvlJc w:val="left"/>
      <w:pPr>
        <w:ind w:left="851" w:firstLine="0"/>
      </w:pPr>
      <w:rPr>
        <w:rFonts w:hint="eastAsia" w:ascii="宋体" w:eastAsia="宋体" w:hAnsiTheme="majorHAnsi"/>
        <w:b w:val="0"/>
        <w:i w:val="0"/>
        <w:sz w:val="21"/>
      </w:rPr>
    </w:lvl>
    <w:lvl w:ilvl="1" w:tentative="0">
      <w:start w:val="1"/>
      <w:numFmt w:val="bullet"/>
      <w:lvlText w:val=""/>
      <w:lvlJc w:val="left"/>
      <w:pPr>
        <w:ind w:left="1276" w:hanging="425"/>
      </w:pPr>
      <w:rPr>
        <w:rFonts w:hint="default" w:ascii="Wingdings" w:hAnsi="Wingdings"/>
      </w:rPr>
    </w:lvl>
    <w:lvl w:ilvl="2" w:tentative="0">
      <w:start w:val="1"/>
      <w:numFmt w:val="bullet"/>
      <w:lvlText w:val=""/>
      <w:lvlJc w:val="left"/>
      <w:pPr>
        <w:ind w:left="1276" w:hanging="236"/>
      </w:pPr>
      <w:rPr>
        <w:rFonts w:hint="default" w:ascii="Wingdings" w:hAnsi="Wingdings"/>
      </w:rPr>
    </w:lvl>
    <w:lvl w:ilvl="3" w:tentative="0">
      <w:start w:val="1"/>
      <w:numFmt w:val="bullet"/>
      <w:lvlText w:val=""/>
      <w:lvlJc w:val="left"/>
      <w:pPr>
        <w:ind w:left="1880" w:hanging="420"/>
      </w:pPr>
      <w:rPr>
        <w:rFonts w:hint="default" w:ascii="Wingdings" w:hAnsi="Wingdings"/>
      </w:rPr>
    </w:lvl>
    <w:lvl w:ilvl="4" w:tentative="0">
      <w:start w:val="1"/>
      <w:numFmt w:val="bullet"/>
      <w:lvlText w:val=""/>
      <w:lvlJc w:val="left"/>
      <w:pPr>
        <w:ind w:left="2300" w:hanging="420"/>
      </w:pPr>
      <w:rPr>
        <w:rFonts w:hint="default" w:ascii="Wingdings" w:hAnsi="Wingdings"/>
      </w:rPr>
    </w:lvl>
    <w:lvl w:ilvl="5" w:tentative="0">
      <w:start w:val="1"/>
      <w:numFmt w:val="bullet"/>
      <w:lvlText w:val=""/>
      <w:lvlJc w:val="left"/>
      <w:pPr>
        <w:ind w:left="2720" w:hanging="420"/>
      </w:pPr>
      <w:rPr>
        <w:rFonts w:hint="default" w:ascii="Wingdings" w:hAnsi="Wingdings"/>
      </w:rPr>
    </w:lvl>
    <w:lvl w:ilvl="6" w:tentative="0">
      <w:start w:val="1"/>
      <w:numFmt w:val="bullet"/>
      <w:lvlText w:val=""/>
      <w:lvlJc w:val="left"/>
      <w:pPr>
        <w:ind w:left="3140" w:hanging="420"/>
      </w:pPr>
      <w:rPr>
        <w:rFonts w:hint="default" w:ascii="Wingdings" w:hAnsi="Wingdings"/>
      </w:rPr>
    </w:lvl>
    <w:lvl w:ilvl="7" w:tentative="0">
      <w:start w:val="1"/>
      <w:numFmt w:val="bullet"/>
      <w:lvlText w:val=""/>
      <w:lvlJc w:val="left"/>
      <w:pPr>
        <w:ind w:left="3560" w:hanging="420"/>
      </w:pPr>
      <w:rPr>
        <w:rFonts w:hint="default" w:ascii="Wingdings" w:hAnsi="Wingdings"/>
      </w:rPr>
    </w:lvl>
    <w:lvl w:ilvl="8" w:tentative="0">
      <w:start w:val="1"/>
      <w:numFmt w:val="bullet"/>
      <w:lvlText w:val=""/>
      <w:lvlJc w:val="left"/>
      <w:pPr>
        <w:ind w:left="3980" w:hanging="420"/>
      </w:pPr>
      <w:rPr>
        <w:rFonts w:hint="default" w:ascii="Wingdings" w:hAnsi="Wingdings"/>
      </w:rPr>
    </w:lvl>
  </w:abstractNum>
  <w:abstractNum w:abstractNumId="24">
    <w:nsid w:val="657D3FBC"/>
    <w:multiLevelType w:val="multilevel"/>
    <w:tmpl w:val="657D3FBC"/>
    <w:lvl w:ilvl="0" w:tentative="0">
      <w:start w:val="1"/>
      <w:numFmt w:val="upperLetter"/>
      <w:pStyle w:val="81"/>
      <w:suff w:val="nothing"/>
      <w:lvlText w:val="附录%1"/>
      <w:lvlJc w:val="left"/>
      <w:pPr>
        <w:ind w:left="0" w:firstLine="0"/>
      </w:pPr>
      <w:rPr>
        <w:rFonts w:hint="eastAsia"/>
        <w:spacing w:val="100"/>
      </w:rPr>
    </w:lvl>
    <w:lvl w:ilvl="1" w:tentative="0">
      <w:start w:val="1"/>
      <w:numFmt w:val="decimal"/>
      <w:pStyle w:val="83"/>
      <w:suff w:val="nothing"/>
      <w:lvlText w:val="%1.%2　"/>
      <w:lvlJc w:val="left"/>
      <w:pPr>
        <w:ind w:left="0" w:firstLine="0"/>
      </w:pPr>
      <w:rPr>
        <w:rFonts w:hint="eastAsia" w:ascii="黑体" w:eastAsia="黑体"/>
        <w:b w:val="0"/>
        <w:i w:val="0"/>
        <w:sz w:val="21"/>
      </w:rPr>
    </w:lvl>
    <w:lvl w:ilvl="2" w:tentative="0">
      <w:start w:val="1"/>
      <w:numFmt w:val="decimal"/>
      <w:pStyle w:val="84"/>
      <w:suff w:val="nothing"/>
      <w:lvlText w:val="%1.%2.%3　"/>
      <w:lvlJc w:val="left"/>
      <w:pPr>
        <w:ind w:left="0" w:firstLine="0"/>
      </w:pPr>
      <w:rPr>
        <w:rFonts w:hint="eastAsia" w:ascii="黑体" w:eastAsia="黑体"/>
        <w:b w:val="0"/>
        <w:i w:val="0"/>
        <w:sz w:val="21"/>
      </w:rPr>
    </w:lvl>
    <w:lvl w:ilvl="3" w:tentative="0">
      <w:start w:val="1"/>
      <w:numFmt w:val="decimal"/>
      <w:pStyle w:val="86"/>
      <w:suff w:val="nothing"/>
      <w:lvlText w:val="%1.%2.%3.%4　"/>
      <w:lvlJc w:val="left"/>
      <w:pPr>
        <w:ind w:left="0" w:firstLine="0"/>
      </w:pPr>
      <w:rPr>
        <w:rFonts w:hint="eastAsia" w:ascii="黑体" w:eastAsia="黑体"/>
        <w:b w:val="0"/>
        <w:i w:val="0"/>
        <w:sz w:val="21"/>
      </w:rPr>
    </w:lvl>
    <w:lvl w:ilvl="4" w:tentative="0">
      <w:start w:val="1"/>
      <w:numFmt w:val="decimal"/>
      <w:pStyle w:val="87"/>
      <w:suff w:val="nothing"/>
      <w:lvlText w:val="%1.%2.%3.%4.%5　"/>
      <w:lvlJc w:val="left"/>
      <w:pPr>
        <w:ind w:left="0" w:firstLine="0"/>
      </w:pPr>
      <w:rPr>
        <w:rFonts w:hint="eastAsia" w:ascii="黑体" w:eastAsia="黑体"/>
        <w:b w:val="0"/>
        <w:i w:val="0"/>
        <w:sz w:val="21"/>
      </w:rPr>
    </w:lvl>
    <w:lvl w:ilvl="5" w:tentative="0">
      <w:start w:val="1"/>
      <w:numFmt w:val="decimal"/>
      <w:pStyle w:val="89"/>
      <w:suff w:val="nothing"/>
      <w:lvlText w:val="%1.%2.%3.%4.%5.%6　"/>
      <w:lvlJc w:val="left"/>
      <w:pPr>
        <w:ind w:left="0" w:firstLine="0"/>
      </w:pPr>
      <w:rPr>
        <w:rFonts w:hint="eastAsia" w:ascii="黑体" w:eastAsia="黑体"/>
        <w:b w:val="0"/>
        <w:i w:val="0"/>
        <w:sz w:val="21"/>
      </w:rPr>
    </w:lvl>
    <w:lvl w:ilvl="6" w:tentative="0">
      <w:start w:val="1"/>
      <w:numFmt w:val="decimal"/>
      <w:suff w:val="nothing"/>
      <w:lvlText w:val="%1.%2.%3.%4.%5.%6.%7　"/>
      <w:lvlJc w:val="left"/>
      <w:pPr>
        <w:ind w:left="0" w:firstLine="0"/>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25">
    <w:nsid w:val="69506ABF"/>
    <w:multiLevelType w:val="multilevel"/>
    <w:tmpl w:val="69506ABF"/>
    <w:lvl w:ilvl="0" w:tentative="0">
      <w:start w:val="1"/>
      <w:numFmt w:val="bullet"/>
      <w:pStyle w:val="193"/>
      <w:lvlText w:val=""/>
      <w:lvlJc w:val="left"/>
      <w:pPr>
        <w:ind w:left="851" w:firstLine="0"/>
      </w:pPr>
      <w:rPr>
        <w:rFonts w:hint="default" w:ascii="Wingdings" w:hAnsi="Wingdings"/>
        <w:color w:val="auto"/>
      </w:rPr>
    </w:lvl>
    <w:lvl w:ilvl="1" w:tentative="0">
      <w:start w:val="1"/>
      <w:numFmt w:val="lowerLetter"/>
      <w:lvlText w:val="%2)"/>
      <w:lvlJc w:val="left"/>
      <w:pPr>
        <w:ind w:left="1040" w:hanging="420"/>
      </w:pPr>
      <w:rPr>
        <w:rFonts w:hint="eastAsia"/>
      </w:rPr>
    </w:lvl>
    <w:lvl w:ilvl="2" w:tentative="0">
      <w:start w:val="1"/>
      <w:numFmt w:val="lowerRoman"/>
      <w:lvlText w:val="%3."/>
      <w:lvlJc w:val="right"/>
      <w:pPr>
        <w:ind w:left="1460" w:hanging="420"/>
      </w:pPr>
      <w:rPr>
        <w:rFonts w:hint="eastAsia"/>
      </w:rPr>
    </w:lvl>
    <w:lvl w:ilvl="3" w:tentative="0">
      <w:start w:val="1"/>
      <w:numFmt w:val="decimal"/>
      <w:lvlText w:val="%4."/>
      <w:lvlJc w:val="left"/>
      <w:pPr>
        <w:ind w:left="1880" w:hanging="420"/>
      </w:pPr>
      <w:rPr>
        <w:rFonts w:hint="eastAsia"/>
      </w:rPr>
    </w:lvl>
    <w:lvl w:ilvl="4" w:tentative="0">
      <w:start w:val="1"/>
      <w:numFmt w:val="lowerLetter"/>
      <w:lvlText w:val="%5)"/>
      <w:lvlJc w:val="left"/>
      <w:pPr>
        <w:ind w:left="2300" w:hanging="420"/>
      </w:pPr>
      <w:rPr>
        <w:rFonts w:hint="eastAsia"/>
      </w:rPr>
    </w:lvl>
    <w:lvl w:ilvl="5" w:tentative="0">
      <w:start w:val="1"/>
      <w:numFmt w:val="lowerRoman"/>
      <w:lvlText w:val="%6."/>
      <w:lvlJc w:val="right"/>
      <w:pPr>
        <w:ind w:left="2720" w:hanging="420"/>
      </w:pPr>
      <w:rPr>
        <w:rFonts w:hint="eastAsia"/>
      </w:rPr>
    </w:lvl>
    <w:lvl w:ilvl="6" w:tentative="0">
      <w:start w:val="1"/>
      <w:numFmt w:val="decimal"/>
      <w:lvlText w:val="%7."/>
      <w:lvlJc w:val="left"/>
      <w:pPr>
        <w:ind w:left="3140" w:hanging="420"/>
      </w:pPr>
      <w:rPr>
        <w:rFonts w:hint="eastAsia"/>
      </w:rPr>
    </w:lvl>
    <w:lvl w:ilvl="7" w:tentative="0">
      <w:start w:val="1"/>
      <w:numFmt w:val="lowerLetter"/>
      <w:lvlText w:val="%8)"/>
      <w:lvlJc w:val="left"/>
      <w:pPr>
        <w:ind w:left="3560" w:hanging="420"/>
      </w:pPr>
      <w:rPr>
        <w:rFonts w:hint="eastAsia"/>
      </w:rPr>
    </w:lvl>
    <w:lvl w:ilvl="8" w:tentative="0">
      <w:start w:val="1"/>
      <w:numFmt w:val="lowerRoman"/>
      <w:lvlText w:val="%9."/>
      <w:lvlJc w:val="right"/>
      <w:pPr>
        <w:ind w:left="3980" w:hanging="420"/>
      </w:pPr>
      <w:rPr>
        <w:rFonts w:hint="eastAsia"/>
      </w:rPr>
    </w:lvl>
  </w:abstractNum>
  <w:abstractNum w:abstractNumId="26">
    <w:nsid w:val="6CA41985"/>
    <w:multiLevelType w:val="multilevel"/>
    <w:tmpl w:val="6CA41985"/>
    <w:lvl w:ilvl="0" w:tentative="0">
      <w:start w:val="1"/>
      <w:numFmt w:val="decimal"/>
      <w:pStyle w:val="102"/>
      <w:lvlText w:val="%1)"/>
      <w:lvlJc w:val="left"/>
      <w:pPr>
        <w:tabs>
          <w:tab w:val="left" w:pos="823"/>
        </w:tabs>
        <w:ind w:left="823"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7">
    <w:nsid w:val="6CE42AC1"/>
    <w:multiLevelType w:val="multilevel"/>
    <w:tmpl w:val="6CE42AC1"/>
    <w:lvl w:ilvl="0" w:tentative="0">
      <w:start w:val="1"/>
      <w:numFmt w:val="lowerLetter"/>
      <w:pStyle w:val="178"/>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8">
    <w:nsid w:val="6CEA2025"/>
    <w:multiLevelType w:val="multilevel"/>
    <w:tmpl w:val="6CEA2025"/>
    <w:lvl w:ilvl="0" w:tentative="0">
      <w:start w:val="1"/>
      <w:numFmt w:val="none"/>
      <w:pStyle w:val="157"/>
      <w:suff w:val="nothing"/>
      <w:lvlText w:val="%1"/>
      <w:lvlJc w:val="left"/>
      <w:pPr>
        <w:ind w:left="0" w:firstLine="0"/>
      </w:pPr>
      <w:rPr>
        <w:rFonts w:hint="eastAsia"/>
      </w:rPr>
    </w:lvl>
    <w:lvl w:ilvl="1" w:tentative="0">
      <w:start w:val="1"/>
      <w:numFmt w:val="decimal"/>
      <w:pStyle w:val="109"/>
      <w:suff w:val="nothing"/>
      <w:lvlText w:val="%1%2　"/>
      <w:lvlJc w:val="left"/>
      <w:pPr>
        <w:ind w:left="0" w:firstLine="0"/>
      </w:pPr>
      <w:rPr>
        <w:rFonts w:hint="eastAsia" w:ascii="黑体" w:eastAsia="黑体"/>
        <w:b w:val="0"/>
        <w:i w:val="0"/>
        <w:sz w:val="21"/>
      </w:rPr>
    </w:lvl>
    <w:lvl w:ilvl="2" w:tentative="0">
      <w:start w:val="1"/>
      <w:numFmt w:val="decimal"/>
      <w:pStyle w:val="110"/>
      <w:suff w:val="nothing"/>
      <w:lvlText w:val="%1%2.%3　"/>
      <w:lvlJc w:val="left"/>
      <w:pPr>
        <w:ind w:left="0" w:firstLine="0"/>
      </w:pPr>
      <w:rPr>
        <w:rFonts w:hint="eastAsia" w:ascii="黑体" w:hAnsi="Times New Roman" w:eastAsia="黑体" w:cs="Times New Roman"/>
        <w:b w:val="0"/>
        <w:bCs w:val="0"/>
        <w:i w:val="0"/>
        <w:iCs w:val="0"/>
        <w:caps w:val="0"/>
        <w:smallCaps w:val="0"/>
        <w:strike w:val="0"/>
        <w:dstrike w:val="0"/>
        <w:vanish w:val="0"/>
        <w:color w:val="000000"/>
        <w:spacing w:val="0"/>
        <w:kern w:val="0"/>
        <w:position w:val="0"/>
        <w:sz w:val="21"/>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lvl>
    <w:lvl w:ilvl="3" w:tentative="0">
      <w:start w:val="1"/>
      <w:numFmt w:val="decimal"/>
      <w:pStyle w:val="70"/>
      <w:suff w:val="nothing"/>
      <w:lvlText w:val="%1%2.%3.%4　"/>
      <w:lvlJc w:val="left"/>
      <w:pPr>
        <w:ind w:left="0" w:firstLine="0"/>
      </w:pPr>
      <w:rPr>
        <w:rFonts w:hint="eastAsia" w:ascii="黑体" w:eastAsia="黑体"/>
        <w:b w:val="0"/>
        <w:i w:val="0"/>
        <w:sz w:val="21"/>
      </w:rPr>
    </w:lvl>
    <w:lvl w:ilvl="4" w:tentative="0">
      <w:start w:val="1"/>
      <w:numFmt w:val="decimal"/>
      <w:pStyle w:val="99"/>
      <w:suff w:val="nothing"/>
      <w:lvlText w:val="%1%2.%3.%4.%5　"/>
      <w:lvlJc w:val="left"/>
      <w:pPr>
        <w:ind w:left="0" w:firstLine="0"/>
      </w:pPr>
      <w:rPr>
        <w:rFonts w:hint="eastAsia" w:ascii="黑体" w:eastAsia="黑体"/>
        <w:b w:val="0"/>
        <w:i w:val="0"/>
        <w:sz w:val="21"/>
      </w:rPr>
    </w:lvl>
    <w:lvl w:ilvl="5" w:tentative="0">
      <w:start w:val="1"/>
      <w:numFmt w:val="decimal"/>
      <w:pStyle w:val="103"/>
      <w:suff w:val="nothing"/>
      <w:lvlText w:val="%1%2.%3.%4.%5.%6　"/>
      <w:lvlJc w:val="left"/>
      <w:pPr>
        <w:ind w:left="0" w:firstLine="0"/>
      </w:pPr>
      <w:rPr>
        <w:rFonts w:hint="eastAsia" w:ascii="黑体" w:eastAsia="黑体"/>
        <w:b w:val="0"/>
        <w:i w:val="0"/>
        <w:sz w:val="21"/>
      </w:rPr>
    </w:lvl>
    <w:lvl w:ilvl="6" w:tentative="0">
      <w:start w:val="1"/>
      <w:numFmt w:val="decimal"/>
      <w:pStyle w:val="108"/>
      <w:suff w:val="nothing"/>
      <w:lvlText w:val="%1%2.%3.%4.%5.%6.%7　"/>
      <w:lvlJc w:val="left"/>
      <w:pPr>
        <w:ind w:left="0" w:firstLine="0"/>
      </w:pPr>
      <w:rPr>
        <w:rFonts w:hint="eastAsia" w:ascii="黑体"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29">
    <w:nsid w:val="6DBF04F4"/>
    <w:multiLevelType w:val="multilevel"/>
    <w:tmpl w:val="6DBF04F4"/>
    <w:lvl w:ilvl="0" w:tentative="0">
      <w:start w:val="1"/>
      <w:numFmt w:val="none"/>
      <w:pStyle w:val="184"/>
      <w:lvlText w:val="%1注："/>
      <w:lvlJc w:val="left"/>
      <w:pPr>
        <w:ind w:left="737" w:hanging="374"/>
      </w:pPr>
      <w:rPr>
        <w:rFonts w:hint="eastAsia" w:ascii="黑体" w:eastAsia="黑体"/>
        <w:b w:val="0"/>
        <w:i w:val="0"/>
        <w:sz w:val="18"/>
      </w:rPr>
    </w:lvl>
    <w:lvl w:ilvl="1" w:tentative="0">
      <w:start w:val="1"/>
      <w:numFmt w:val="lowerLetter"/>
      <w:lvlText w:val="%2)"/>
      <w:lvlJc w:val="left"/>
      <w:pPr>
        <w:tabs>
          <w:tab w:val="left" w:pos="1140"/>
        </w:tabs>
        <w:ind w:left="726" w:hanging="363"/>
      </w:pPr>
      <w:rPr>
        <w:rFonts w:hint="eastAsia"/>
      </w:rPr>
    </w:lvl>
    <w:lvl w:ilvl="2" w:tentative="0">
      <w:start w:val="1"/>
      <w:numFmt w:val="lowerRoman"/>
      <w:lvlText w:val="%3."/>
      <w:lvlJc w:val="right"/>
      <w:pPr>
        <w:tabs>
          <w:tab w:val="left" w:pos="1140"/>
        </w:tabs>
        <w:ind w:left="726" w:hanging="363"/>
      </w:pPr>
      <w:rPr>
        <w:rFonts w:hint="eastAsia"/>
      </w:rPr>
    </w:lvl>
    <w:lvl w:ilvl="3" w:tentative="0">
      <w:start w:val="1"/>
      <w:numFmt w:val="decimal"/>
      <w:lvlText w:val="%4."/>
      <w:lvlJc w:val="left"/>
      <w:pPr>
        <w:tabs>
          <w:tab w:val="left" w:pos="1140"/>
        </w:tabs>
        <w:ind w:left="726" w:hanging="363"/>
      </w:pPr>
      <w:rPr>
        <w:rFonts w:hint="eastAsia"/>
      </w:rPr>
    </w:lvl>
    <w:lvl w:ilvl="4" w:tentative="0">
      <w:start w:val="1"/>
      <w:numFmt w:val="lowerLetter"/>
      <w:lvlText w:val="%5)"/>
      <w:lvlJc w:val="left"/>
      <w:pPr>
        <w:tabs>
          <w:tab w:val="left" w:pos="1140"/>
        </w:tabs>
        <w:ind w:left="726" w:hanging="363"/>
      </w:pPr>
      <w:rPr>
        <w:rFonts w:hint="eastAsia"/>
      </w:rPr>
    </w:lvl>
    <w:lvl w:ilvl="5" w:tentative="0">
      <w:start w:val="1"/>
      <w:numFmt w:val="lowerRoman"/>
      <w:lvlText w:val="%6."/>
      <w:lvlJc w:val="right"/>
      <w:pPr>
        <w:tabs>
          <w:tab w:val="left" w:pos="1140"/>
        </w:tabs>
        <w:ind w:left="726" w:hanging="363"/>
      </w:pPr>
      <w:rPr>
        <w:rFonts w:hint="eastAsia"/>
      </w:rPr>
    </w:lvl>
    <w:lvl w:ilvl="6" w:tentative="0">
      <w:start w:val="1"/>
      <w:numFmt w:val="decimal"/>
      <w:lvlText w:val="%7."/>
      <w:lvlJc w:val="left"/>
      <w:pPr>
        <w:tabs>
          <w:tab w:val="left" w:pos="1140"/>
        </w:tabs>
        <w:ind w:left="726" w:hanging="363"/>
      </w:pPr>
      <w:rPr>
        <w:rFonts w:hint="eastAsia"/>
      </w:rPr>
    </w:lvl>
    <w:lvl w:ilvl="7" w:tentative="0">
      <w:start w:val="1"/>
      <w:numFmt w:val="lowerLetter"/>
      <w:lvlText w:val="%8)"/>
      <w:lvlJc w:val="left"/>
      <w:pPr>
        <w:tabs>
          <w:tab w:val="left" w:pos="1140"/>
        </w:tabs>
        <w:ind w:left="726" w:hanging="363"/>
      </w:pPr>
      <w:rPr>
        <w:rFonts w:hint="eastAsia"/>
      </w:rPr>
    </w:lvl>
    <w:lvl w:ilvl="8" w:tentative="0">
      <w:start w:val="1"/>
      <w:numFmt w:val="lowerRoman"/>
      <w:lvlText w:val="%9."/>
      <w:lvlJc w:val="right"/>
      <w:pPr>
        <w:tabs>
          <w:tab w:val="left" w:pos="1140"/>
        </w:tabs>
        <w:ind w:left="726" w:hanging="363"/>
      </w:pPr>
      <w:rPr>
        <w:rFonts w:hint="eastAsia"/>
      </w:rPr>
    </w:lvl>
  </w:abstractNum>
  <w:abstractNum w:abstractNumId="30">
    <w:nsid w:val="6DF35F19"/>
    <w:multiLevelType w:val="multilevel"/>
    <w:tmpl w:val="6DF35F19"/>
    <w:lvl w:ilvl="0" w:tentative="0">
      <w:start w:val="1"/>
      <w:numFmt w:val="decimal"/>
      <w:pStyle w:val="120"/>
      <w:suff w:val="nothing"/>
      <w:lvlText w:val="Table %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31">
    <w:nsid w:val="76933334"/>
    <w:multiLevelType w:val="multilevel"/>
    <w:tmpl w:val="76933334"/>
    <w:lvl w:ilvl="0" w:tentative="0">
      <w:start w:val="1"/>
      <w:numFmt w:val="none"/>
      <w:pStyle w:val="144"/>
      <w:lvlText w:val="%1——"/>
      <w:lvlJc w:val="left"/>
      <w:pPr>
        <w:tabs>
          <w:tab w:val="left" w:pos="330"/>
        </w:tabs>
        <w:ind w:left="948"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28"/>
  </w:num>
  <w:num w:numId="3">
    <w:abstractNumId w:val="5"/>
  </w:num>
  <w:num w:numId="4">
    <w:abstractNumId w:val="24"/>
  </w:num>
  <w:num w:numId="5">
    <w:abstractNumId w:val="19"/>
  </w:num>
  <w:num w:numId="6">
    <w:abstractNumId w:val="13"/>
  </w:num>
  <w:num w:numId="7">
    <w:abstractNumId w:val="8"/>
  </w:num>
  <w:num w:numId="8">
    <w:abstractNumId w:val="3"/>
  </w:num>
  <w:num w:numId="9">
    <w:abstractNumId w:val="9"/>
  </w:num>
  <w:num w:numId="10">
    <w:abstractNumId w:val="17"/>
  </w:num>
  <w:num w:numId="11">
    <w:abstractNumId w:val="26"/>
  </w:num>
  <w:num w:numId="12">
    <w:abstractNumId w:val="11"/>
  </w:num>
  <w:num w:numId="13">
    <w:abstractNumId w:val="12"/>
  </w:num>
  <w:num w:numId="14">
    <w:abstractNumId w:val="7"/>
  </w:num>
  <w:num w:numId="15">
    <w:abstractNumId w:val="20"/>
  </w:num>
  <w:num w:numId="16">
    <w:abstractNumId w:val="22"/>
  </w:num>
  <w:num w:numId="17">
    <w:abstractNumId w:val="18"/>
  </w:num>
  <w:num w:numId="18">
    <w:abstractNumId w:val="30"/>
  </w:num>
  <w:num w:numId="19">
    <w:abstractNumId w:val="16"/>
  </w:num>
  <w:num w:numId="20">
    <w:abstractNumId w:val="1"/>
  </w:num>
  <w:num w:numId="21">
    <w:abstractNumId w:val="10"/>
  </w:num>
  <w:num w:numId="22">
    <w:abstractNumId w:val="31"/>
  </w:num>
  <w:num w:numId="23">
    <w:abstractNumId w:val="21"/>
  </w:num>
  <w:num w:numId="24">
    <w:abstractNumId w:val="6"/>
  </w:num>
  <w:num w:numId="25">
    <w:abstractNumId w:val="27"/>
  </w:num>
  <w:num w:numId="26">
    <w:abstractNumId w:val="29"/>
  </w:num>
  <w:num w:numId="27">
    <w:abstractNumId w:val="2"/>
  </w:num>
  <w:num w:numId="28">
    <w:abstractNumId w:val="4"/>
  </w:num>
  <w:num w:numId="29">
    <w:abstractNumId w:val="14"/>
  </w:num>
  <w:num w:numId="30">
    <w:abstractNumId w:val="25"/>
  </w:num>
  <w:num w:numId="31">
    <w:abstractNumId w:val="23"/>
  </w:num>
  <w:num w:numId="3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attachedTemplate r:id="rId1"/>
  <w:documentProtection w:edit="forms" w:enforcement="0"/>
  <w:defaultTabStop w:val="420"/>
  <w:evenAndOddHeaders w:val="1"/>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2D85"/>
    <w:rsid w:val="0000040A"/>
    <w:rsid w:val="00000A94"/>
    <w:rsid w:val="00001972"/>
    <w:rsid w:val="00001D9A"/>
    <w:rsid w:val="00007B3A"/>
    <w:rsid w:val="000107E0"/>
    <w:rsid w:val="00011FDE"/>
    <w:rsid w:val="00012FFD"/>
    <w:rsid w:val="00014162"/>
    <w:rsid w:val="00014340"/>
    <w:rsid w:val="00016A9C"/>
    <w:rsid w:val="00022184"/>
    <w:rsid w:val="00022762"/>
    <w:rsid w:val="000238E0"/>
    <w:rsid w:val="000249DB"/>
    <w:rsid w:val="0002595E"/>
    <w:rsid w:val="000303C3"/>
    <w:rsid w:val="000331D3"/>
    <w:rsid w:val="000346A5"/>
    <w:rsid w:val="000359C3"/>
    <w:rsid w:val="00035A7D"/>
    <w:rsid w:val="000365ED"/>
    <w:rsid w:val="0004249A"/>
    <w:rsid w:val="00042C8C"/>
    <w:rsid w:val="00043282"/>
    <w:rsid w:val="00044286"/>
    <w:rsid w:val="00047F28"/>
    <w:rsid w:val="000503AA"/>
    <w:rsid w:val="000506A1"/>
    <w:rsid w:val="000515DD"/>
    <w:rsid w:val="0005265A"/>
    <w:rsid w:val="000539DD"/>
    <w:rsid w:val="00053BD3"/>
    <w:rsid w:val="000556ED"/>
    <w:rsid w:val="00055FE2"/>
    <w:rsid w:val="0005616F"/>
    <w:rsid w:val="00060C2E"/>
    <w:rsid w:val="00061033"/>
    <w:rsid w:val="000619E9"/>
    <w:rsid w:val="000622D4"/>
    <w:rsid w:val="0006357D"/>
    <w:rsid w:val="00067F1E"/>
    <w:rsid w:val="00071CC0"/>
    <w:rsid w:val="00071CFC"/>
    <w:rsid w:val="00073C8C"/>
    <w:rsid w:val="00077B64"/>
    <w:rsid w:val="00080A1C"/>
    <w:rsid w:val="00082317"/>
    <w:rsid w:val="00083D2C"/>
    <w:rsid w:val="00086AA1"/>
    <w:rsid w:val="00087A77"/>
    <w:rsid w:val="00090CA6"/>
    <w:rsid w:val="00092B8A"/>
    <w:rsid w:val="00092FB0"/>
    <w:rsid w:val="000934C5"/>
    <w:rsid w:val="00093D25"/>
    <w:rsid w:val="00093DAB"/>
    <w:rsid w:val="00094D73"/>
    <w:rsid w:val="00096D63"/>
    <w:rsid w:val="000A0B60"/>
    <w:rsid w:val="000A0EB8"/>
    <w:rsid w:val="000A19FC"/>
    <w:rsid w:val="000A296B"/>
    <w:rsid w:val="000A7311"/>
    <w:rsid w:val="000B060F"/>
    <w:rsid w:val="000B1592"/>
    <w:rsid w:val="000B1FF2"/>
    <w:rsid w:val="000B3CDA"/>
    <w:rsid w:val="000B6A0B"/>
    <w:rsid w:val="000C0F6C"/>
    <w:rsid w:val="000C11DB"/>
    <w:rsid w:val="000C1492"/>
    <w:rsid w:val="000C2FBD"/>
    <w:rsid w:val="000C4B41"/>
    <w:rsid w:val="000C57D6"/>
    <w:rsid w:val="000C6362"/>
    <w:rsid w:val="000C7666"/>
    <w:rsid w:val="000D0A9C"/>
    <w:rsid w:val="000D1795"/>
    <w:rsid w:val="000D329A"/>
    <w:rsid w:val="000D4B9C"/>
    <w:rsid w:val="000D4EB6"/>
    <w:rsid w:val="000D753B"/>
    <w:rsid w:val="000E2D85"/>
    <w:rsid w:val="000E4C9E"/>
    <w:rsid w:val="000E6FD7"/>
    <w:rsid w:val="000E7144"/>
    <w:rsid w:val="000F06E1"/>
    <w:rsid w:val="000F0E3C"/>
    <w:rsid w:val="000F19D5"/>
    <w:rsid w:val="000F4050"/>
    <w:rsid w:val="000F4AEA"/>
    <w:rsid w:val="000F67E9"/>
    <w:rsid w:val="00104926"/>
    <w:rsid w:val="00113B1E"/>
    <w:rsid w:val="00114A2D"/>
    <w:rsid w:val="0011711C"/>
    <w:rsid w:val="00124E4F"/>
    <w:rsid w:val="001260B7"/>
    <w:rsid w:val="001265CB"/>
    <w:rsid w:val="001321C6"/>
    <w:rsid w:val="001325C4"/>
    <w:rsid w:val="00133010"/>
    <w:rsid w:val="001338EE"/>
    <w:rsid w:val="00133AAE"/>
    <w:rsid w:val="00135323"/>
    <w:rsid w:val="001356C4"/>
    <w:rsid w:val="00137565"/>
    <w:rsid w:val="00141114"/>
    <w:rsid w:val="00142969"/>
    <w:rsid w:val="001446C2"/>
    <w:rsid w:val="001457E7"/>
    <w:rsid w:val="00145D9D"/>
    <w:rsid w:val="00146388"/>
    <w:rsid w:val="001529E5"/>
    <w:rsid w:val="00152FB3"/>
    <w:rsid w:val="00153C7E"/>
    <w:rsid w:val="00156B25"/>
    <w:rsid w:val="00156E1A"/>
    <w:rsid w:val="00157894"/>
    <w:rsid w:val="00157B55"/>
    <w:rsid w:val="001642FA"/>
    <w:rsid w:val="001649EB"/>
    <w:rsid w:val="00164BAF"/>
    <w:rsid w:val="00164FA8"/>
    <w:rsid w:val="00165065"/>
    <w:rsid w:val="00165434"/>
    <w:rsid w:val="0016580B"/>
    <w:rsid w:val="00165F49"/>
    <w:rsid w:val="00166B88"/>
    <w:rsid w:val="0016770A"/>
    <w:rsid w:val="00170804"/>
    <w:rsid w:val="001708E9"/>
    <w:rsid w:val="0017340B"/>
    <w:rsid w:val="00173FB1"/>
    <w:rsid w:val="00176DFD"/>
    <w:rsid w:val="001852C9"/>
    <w:rsid w:val="00187A0B"/>
    <w:rsid w:val="00190087"/>
    <w:rsid w:val="001913C4"/>
    <w:rsid w:val="0019348F"/>
    <w:rsid w:val="00193A07"/>
    <w:rsid w:val="00194C95"/>
    <w:rsid w:val="00195C34"/>
    <w:rsid w:val="00196EF5"/>
    <w:rsid w:val="001A1A53"/>
    <w:rsid w:val="001A234A"/>
    <w:rsid w:val="001A4CF3"/>
    <w:rsid w:val="001A6696"/>
    <w:rsid w:val="001B06E8"/>
    <w:rsid w:val="001B71D0"/>
    <w:rsid w:val="001B71EE"/>
    <w:rsid w:val="001C04A8"/>
    <w:rsid w:val="001C2C03"/>
    <w:rsid w:val="001C42F7"/>
    <w:rsid w:val="001C49E5"/>
    <w:rsid w:val="001C680C"/>
    <w:rsid w:val="001C7FEA"/>
    <w:rsid w:val="001D0499"/>
    <w:rsid w:val="001D0BBE"/>
    <w:rsid w:val="001D0ED4"/>
    <w:rsid w:val="001D2033"/>
    <w:rsid w:val="001D212F"/>
    <w:rsid w:val="001D29D7"/>
    <w:rsid w:val="001D2DE7"/>
    <w:rsid w:val="001D411C"/>
    <w:rsid w:val="001E1B6A"/>
    <w:rsid w:val="001E2484"/>
    <w:rsid w:val="001E3CC4"/>
    <w:rsid w:val="001E4882"/>
    <w:rsid w:val="001E73AB"/>
    <w:rsid w:val="001F092D"/>
    <w:rsid w:val="001F143A"/>
    <w:rsid w:val="001F1605"/>
    <w:rsid w:val="001F2508"/>
    <w:rsid w:val="001F4816"/>
    <w:rsid w:val="001F69B4"/>
    <w:rsid w:val="001F77C7"/>
    <w:rsid w:val="00200183"/>
    <w:rsid w:val="00200333"/>
    <w:rsid w:val="0020107D"/>
    <w:rsid w:val="00202AA4"/>
    <w:rsid w:val="002031F7"/>
    <w:rsid w:val="002040E6"/>
    <w:rsid w:val="0020527B"/>
    <w:rsid w:val="00205F2C"/>
    <w:rsid w:val="00210B15"/>
    <w:rsid w:val="002142EA"/>
    <w:rsid w:val="00215ADD"/>
    <w:rsid w:val="002204BB"/>
    <w:rsid w:val="00221B79"/>
    <w:rsid w:val="00221C6B"/>
    <w:rsid w:val="002253A1"/>
    <w:rsid w:val="00225CF8"/>
    <w:rsid w:val="0022794E"/>
    <w:rsid w:val="00233D64"/>
    <w:rsid w:val="0023482A"/>
    <w:rsid w:val="002359CB"/>
    <w:rsid w:val="00243540"/>
    <w:rsid w:val="0024497B"/>
    <w:rsid w:val="0024515B"/>
    <w:rsid w:val="00246021"/>
    <w:rsid w:val="0024666E"/>
    <w:rsid w:val="00247F52"/>
    <w:rsid w:val="00250B25"/>
    <w:rsid w:val="00250BBE"/>
    <w:rsid w:val="002515C2"/>
    <w:rsid w:val="0025194F"/>
    <w:rsid w:val="0026148A"/>
    <w:rsid w:val="00262696"/>
    <w:rsid w:val="00263D25"/>
    <w:rsid w:val="002643C3"/>
    <w:rsid w:val="00264A0C"/>
    <w:rsid w:val="00266EEB"/>
    <w:rsid w:val="00267EF4"/>
    <w:rsid w:val="00270CB8"/>
    <w:rsid w:val="00272B08"/>
    <w:rsid w:val="00281BB8"/>
    <w:rsid w:val="00281E9E"/>
    <w:rsid w:val="00282405"/>
    <w:rsid w:val="00285170"/>
    <w:rsid w:val="00285361"/>
    <w:rsid w:val="00292D60"/>
    <w:rsid w:val="00293B30"/>
    <w:rsid w:val="00294D34"/>
    <w:rsid w:val="00294E3B"/>
    <w:rsid w:val="00296193"/>
    <w:rsid w:val="00296C66"/>
    <w:rsid w:val="00296EBE"/>
    <w:rsid w:val="002974E3"/>
    <w:rsid w:val="002A084B"/>
    <w:rsid w:val="002A1260"/>
    <w:rsid w:val="002A1589"/>
    <w:rsid w:val="002A1608"/>
    <w:rsid w:val="002A25DC"/>
    <w:rsid w:val="002A3AAB"/>
    <w:rsid w:val="002A4CEA"/>
    <w:rsid w:val="002A5977"/>
    <w:rsid w:val="002A5A13"/>
    <w:rsid w:val="002A757F"/>
    <w:rsid w:val="002A7F44"/>
    <w:rsid w:val="002B0C40"/>
    <w:rsid w:val="002B1966"/>
    <w:rsid w:val="002B4508"/>
    <w:rsid w:val="002B5779"/>
    <w:rsid w:val="002B7332"/>
    <w:rsid w:val="002B7F51"/>
    <w:rsid w:val="002C09E7"/>
    <w:rsid w:val="002C1E06"/>
    <w:rsid w:val="002C1FA5"/>
    <w:rsid w:val="002C3F07"/>
    <w:rsid w:val="002C5278"/>
    <w:rsid w:val="002C7EBB"/>
    <w:rsid w:val="002D06C1"/>
    <w:rsid w:val="002D42B5"/>
    <w:rsid w:val="002D4F1A"/>
    <w:rsid w:val="002D6EC6"/>
    <w:rsid w:val="002D79AC"/>
    <w:rsid w:val="002E039D"/>
    <w:rsid w:val="002E4D5A"/>
    <w:rsid w:val="002E6326"/>
    <w:rsid w:val="002F30E0"/>
    <w:rsid w:val="002F35E4"/>
    <w:rsid w:val="002F3730"/>
    <w:rsid w:val="002F38E1"/>
    <w:rsid w:val="002F7AF6"/>
    <w:rsid w:val="00300E63"/>
    <w:rsid w:val="00302F5F"/>
    <w:rsid w:val="0030441D"/>
    <w:rsid w:val="00306063"/>
    <w:rsid w:val="00313B85"/>
    <w:rsid w:val="00317988"/>
    <w:rsid w:val="003221B4"/>
    <w:rsid w:val="0032258D"/>
    <w:rsid w:val="00322E62"/>
    <w:rsid w:val="00324D13"/>
    <w:rsid w:val="00324EDD"/>
    <w:rsid w:val="003331E4"/>
    <w:rsid w:val="00336C64"/>
    <w:rsid w:val="00337162"/>
    <w:rsid w:val="0034194F"/>
    <w:rsid w:val="00344605"/>
    <w:rsid w:val="003474AA"/>
    <w:rsid w:val="00350D1D"/>
    <w:rsid w:val="00352C83"/>
    <w:rsid w:val="00352F1A"/>
    <w:rsid w:val="0036107C"/>
    <w:rsid w:val="003615D2"/>
    <w:rsid w:val="0036429C"/>
    <w:rsid w:val="00364A53"/>
    <w:rsid w:val="003654CB"/>
    <w:rsid w:val="00365AA9"/>
    <w:rsid w:val="00365F86"/>
    <w:rsid w:val="00365F87"/>
    <w:rsid w:val="00366E89"/>
    <w:rsid w:val="003705F4"/>
    <w:rsid w:val="00370D58"/>
    <w:rsid w:val="00371316"/>
    <w:rsid w:val="00376713"/>
    <w:rsid w:val="00381815"/>
    <w:rsid w:val="003819AF"/>
    <w:rsid w:val="003820E9"/>
    <w:rsid w:val="00382DE7"/>
    <w:rsid w:val="00384FFC"/>
    <w:rsid w:val="003872FC"/>
    <w:rsid w:val="00387ADC"/>
    <w:rsid w:val="00390020"/>
    <w:rsid w:val="003903D6"/>
    <w:rsid w:val="00390EE6"/>
    <w:rsid w:val="0039118F"/>
    <w:rsid w:val="00392AD7"/>
    <w:rsid w:val="003938D9"/>
    <w:rsid w:val="00394376"/>
    <w:rsid w:val="003943FF"/>
    <w:rsid w:val="003974EB"/>
    <w:rsid w:val="00397CC5"/>
    <w:rsid w:val="003A11D1"/>
    <w:rsid w:val="003A1582"/>
    <w:rsid w:val="003A3D9C"/>
    <w:rsid w:val="003A4077"/>
    <w:rsid w:val="003A4AA7"/>
    <w:rsid w:val="003B09AD"/>
    <w:rsid w:val="003B1F18"/>
    <w:rsid w:val="003B5BF0"/>
    <w:rsid w:val="003B60BF"/>
    <w:rsid w:val="003B6BE3"/>
    <w:rsid w:val="003C010C"/>
    <w:rsid w:val="003C0A6C"/>
    <w:rsid w:val="003C14F8"/>
    <w:rsid w:val="003C5A43"/>
    <w:rsid w:val="003D0519"/>
    <w:rsid w:val="003D0FF6"/>
    <w:rsid w:val="003D262C"/>
    <w:rsid w:val="003D6D61"/>
    <w:rsid w:val="003E019F"/>
    <w:rsid w:val="003E091D"/>
    <w:rsid w:val="003E1C53"/>
    <w:rsid w:val="003E2A69"/>
    <w:rsid w:val="003E2D49"/>
    <w:rsid w:val="003E2FD4"/>
    <w:rsid w:val="003E49F6"/>
    <w:rsid w:val="003E660F"/>
    <w:rsid w:val="003F0841"/>
    <w:rsid w:val="003F23CE"/>
    <w:rsid w:val="003F23D3"/>
    <w:rsid w:val="003F3F08"/>
    <w:rsid w:val="003F49F1"/>
    <w:rsid w:val="003F6272"/>
    <w:rsid w:val="00400E72"/>
    <w:rsid w:val="00401400"/>
    <w:rsid w:val="00404869"/>
    <w:rsid w:val="00405884"/>
    <w:rsid w:val="00407D39"/>
    <w:rsid w:val="00412D40"/>
    <w:rsid w:val="0041477A"/>
    <w:rsid w:val="004167A3"/>
    <w:rsid w:val="00432DAA"/>
    <w:rsid w:val="00434305"/>
    <w:rsid w:val="00435DF7"/>
    <w:rsid w:val="0043741A"/>
    <w:rsid w:val="0044083F"/>
    <w:rsid w:val="00441AE7"/>
    <w:rsid w:val="00445574"/>
    <w:rsid w:val="004467FB"/>
    <w:rsid w:val="00452D6B"/>
    <w:rsid w:val="00454484"/>
    <w:rsid w:val="0045517B"/>
    <w:rsid w:val="00463B77"/>
    <w:rsid w:val="00463C7B"/>
    <w:rsid w:val="004644A6"/>
    <w:rsid w:val="004659BD"/>
    <w:rsid w:val="00470775"/>
    <w:rsid w:val="004746B1"/>
    <w:rsid w:val="0047583F"/>
    <w:rsid w:val="00475DE8"/>
    <w:rsid w:val="00481C44"/>
    <w:rsid w:val="00484936"/>
    <w:rsid w:val="00485C89"/>
    <w:rsid w:val="00486BE3"/>
    <w:rsid w:val="004905E4"/>
    <w:rsid w:val="00490A89"/>
    <w:rsid w:val="00490AB4"/>
    <w:rsid w:val="00492F02"/>
    <w:rsid w:val="004939AE"/>
    <w:rsid w:val="00494CC8"/>
    <w:rsid w:val="004A12DF"/>
    <w:rsid w:val="004A1BA8"/>
    <w:rsid w:val="004A4B57"/>
    <w:rsid w:val="004A63FA"/>
    <w:rsid w:val="004A6A3D"/>
    <w:rsid w:val="004B0272"/>
    <w:rsid w:val="004B2701"/>
    <w:rsid w:val="004B2E1B"/>
    <w:rsid w:val="004B3AA8"/>
    <w:rsid w:val="004B3E93"/>
    <w:rsid w:val="004C1FBC"/>
    <w:rsid w:val="004C25A2"/>
    <w:rsid w:val="004C3F1D"/>
    <w:rsid w:val="004C458D"/>
    <w:rsid w:val="004C7556"/>
    <w:rsid w:val="004C7E8B"/>
    <w:rsid w:val="004C7E9D"/>
    <w:rsid w:val="004C7F67"/>
    <w:rsid w:val="004D076D"/>
    <w:rsid w:val="004D0EF1"/>
    <w:rsid w:val="004D2253"/>
    <w:rsid w:val="004D4406"/>
    <w:rsid w:val="004D51D8"/>
    <w:rsid w:val="004D7C42"/>
    <w:rsid w:val="004E0465"/>
    <w:rsid w:val="004E127B"/>
    <w:rsid w:val="004E1C0A"/>
    <w:rsid w:val="004E30C5"/>
    <w:rsid w:val="004E4AA5"/>
    <w:rsid w:val="004E4AEE"/>
    <w:rsid w:val="004E59E3"/>
    <w:rsid w:val="004E67C0"/>
    <w:rsid w:val="004F391A"/>
    <w:rsid w:val="004F3CFB"/>
    <w:rsid w:val="004F6456"/>
    <w:rsid w:val="004F696E"/>
    <w:rsid w:val="004F6C71"/>
    <w:rsid w:val="00501139"/>
    <w:rsid w:val="0050363E"/>
    <w:rsid w:val="005039BC"/>
    <w:rsid w:val="005043BB"/>
    <w:rsid w:val="00504A3D"/>
    <w:rsid w:val="00505767"/>
    <w:rsid w:val="005073F0"/>
    <w:rsid w:val="00510A7B"/>
    <w:rsid w:val="00512F6E"/>
    <w:rsid w:val="00513038"/>
    <w:rsid w:val="00514174"/>
    <w:rsid w:val="00516088"/>
    <w:rsid w:val="00516B0B"/>
    <w:rsid w:val="005220EC"/>
    <w:rsid w:val="00523F95"/>
    <w:rsid w:val="00524D65"/>
    <w:rsid w:val="00525746"/>
    <w:rsid w:val="00525B16"/>
    <w:rsid w:val="00533D04"/>
    <w:rsid w:val="00534804"/>
    <w:rsid w:val="00534BDF"/>
    <w:rsid w:val="005354EA"/>
    <w:rsid w:val="0053585F"/>
    <w:rsid w:val="00535EC4"/>
    <w:rsid w:val="00535ED9"/>
    <w:rsid w:val="0053692B"/>
    <w:rsid w:val="00541853"/>
    <w:rsid w:val="00543BDA"/>
    <w:rsid w:val="005441CC"/>
    <w:rsid w:val="005479DA"/>
    <w:rsid w:val="00547BCC"/>
    <w:rsid w:val="0055013B"/>
    <w:rsid w:val="00551F6F"/>
    <w:rsid w:val="00555044"/>
    <w:rsid w:val="00561475"/>
    <w:rsid w:val="00562308"/>
    <w:rsid w:val="005627F5"/>
    <w:rsid w:val="0056487B"/>
    <w:rsid w:val="00564FB9"/>
    <w:rsid w:val="00573D9E"/>
    <w:rsid w:val="005801E3"/>
    <w:rsid w:val="00581802"/>
    <w:rsid w:val="005836A8"/>
    <w:rsid w:val="0058409C"/>
    <w:rsid w:val="00584262"/>
    <w:rsid w:val="00586630"/>
    <w:rsid w:val="00587ADD"/>
    <w:rsid w:val="00593A49"/>
    <w:rsid w:val="00594EF0"/>
    <w:rsid w:val="00596160"/>
    <w:rsid w:val="005966E2"/>
    <w:rsid w:val="00597007"/>
    <w:rsid w:val="005A0966"/>
    <w:rsid w:val="005A11B7"/>
    <w:rsid w:val="005A260B"/>
    <w:rsid w:val="005A4A1B"/>
    <w:rsid w:val="005A7830"/>
    <w:rsid w:val="005A7FCE"/>
    <w:rsid w:val="005B0F3F"/>
    <w:rsid w:val="005B161B"/>
    <w:rsid w:val="005B191C"/>
    <w:rsid w:val="005B4903"/>
    <w:rsid w:val="005B51CE"/>
    <w:rsid w:val="005B5885"/>
    <w:rsid w:val="005B5CD7"/>
    <w:rsid w:val="005B6CF6"/>
    <w:rsid w:val="005B7422"/>
    <w:rsid w:val="005C29B8"/>
    <w:rsid w:val="005C5F21"/>
    <w:rsid w:val="005C7156"/>
    <w:rsid w:val="005D0C75"/>
    <w:rsid w:val="005D4171"/>
    <w:rsid w:val="005D6A95"/>
    <w:rsid w:val="005D6B2C"/>
    <w:rsid w:val="005D6D9C"/>
    <w:rsid w:val="005E2335"/>
    <w:rsid w:val="005E34CA"/>
    <w:rsid w:val="005E3C18"/>
    <w:rsid w:val="005E4250"/>
    <w:rsid w:val="005E6812"/>
    <w:rsid w:val="005E7881"/>
    <w:rsid w:val="005E78E0"/>
    <w:rsid w:val="005F0D9C"/>
    <w:rsid w:val="005F284E"/>
    <w:rsid w:val="006015CE"/>
    <w:rsid w:val="00601EEA"/>
    <w:rsid w:val="00604784"/>
    <w:rsid w:val="00606419"/>
    <w:rsid w:val="00607D29"/>
    <w:rsid w:val="00612952"/>
    <w:rsid w:val="00614CC1"/>
    <w:rsid w:val="00615A9D"/>
    <w:rsid w:val="00617387"/>
    <w:rsid w:val="006205D6"/>
    <w:rsid w:val="006252D8"/>
    <w:rsid w:val="006259BC"/>
    <w:rsid w:val="0062636B"/>
    <w:rsid w:val="00632182"/>
    <w:rsid w:val="00632AE0"/>
    <w:rsid w:val="00633C17"/>
    <w:rsid w:val="00634D9E"/>
    <w:rsid w:val="00636E3E"/>
    <w:rsid w:val="006379F7"/>
    <w:rsid w:val="00637E4D"/>
    <w:rsid w:val="00640620"/>
    <w:rsid w:val="00641A1F"/>
    <w:rsid w:val="00645904"/>
    <w:rsid w:val="00651ACB"/>
    <w:rsid w:val="00651C47"/>
    <w:rsid w:val="00652AB2"/>
    <w:rsid w:val="00653FED"/>
    <w:rsid w:val="00654EC0"/>
    <w:rsid w:val="0065525B"/>
    <w:rsid w:val="00655D4F"/>
    <w:rsid w:val="00656D29"/>
    <w:rsid w:val="006640E5"/>
    <w:rsid w:val="006646F1"/>
    <w:rsid w:val="00664929"/>
    <w:rsid w:val="00664F62"/>
    <w:rsid w:val="006655E1"/>
    <w:rsid w:val="00672060"/>
    <w:rsid w:val="00672BFD"/>
    <w:rsid w:val="006770F4"/>
    <w:rsid w:val="00677A84"/>
    <w:rsid w:val="0068026D"/>
    <w:rsid w:val="00680A27"/>
    <w:rsid w:val="006816A4"/>
    <w:rsid w:val="006819B8"/>
    <w:rsid w:val="006840A6"/>
    <w:rsid w:val="006850CD"/>
    <w:rsid w:val="00685AAB"/>
    <w:rsid w:val="006879D7"/>
    <w:rsid w:val="00693962"/>
    <w:rsid w:val="006A07AA"/>
    <w:rsid w:val="006A25E5"/>
    <w:rsid w:val="006A2B46"/>
    <w:rsid w:val="006A336D"/>
    <w:rsid w:val="006A37B9"/>
    <w:rsid w:val="006B2672"/>
    <w:rsid w:val="006B54BF"/>
    <w:rsid w:val="006B5F44"/>
    <w:rsid w:val="006B5F90"/>
    <w:rsid w:val="006B62E4"/>
    <w:rsid w:val="006C1BBA"/>
    <w:rsid w:val="006C2079"/>
    <w:rsid w:val="006C5A62"/>
    <w:rsid w:val="006C5D68"/>
    <w:rsid w:val="006C6976"/>
    <w:rsid w:val="006C6DD0"/>
    <w:rsid w:val="006D04EA"/>
    <w:rsid w:val="006D16C4"/>
    <w:rsid w:val="006D3E96"/>
    <w:rsid w:val="006D4515"/>
    <w:rsid w:val="006D4BB1"/>
    <w:rsid w:val="006D6593"/>
    <w:rsid w:val="006F03A8"/>
    <w:rsid w:val="006F2ACA"/>
    <w:rsid w:val="006F2ADC"/>
    <w:rsid w:val="006F2BFE"/>
    <w:rsid w:val="006F31E9"/>
    <w:rsid w:val="006F6284"/>
    <w:rsid w:val="007002C5"/>
    <w:rsid w:val="00704387"/>
    <w:rsid w:val="00707669"/>
    <w:rsid w:val="00711CBA"/>
    <w:rsid w:val="00711FB5"/>
    <w:rsid w:val="00712A01"/>
    <w:rsid w:val="00714F58"/>
    <w:rsid w:val="00722FBF"/>
    <w:rsid w:val="00722FC2"/>
    <w:rsid w:val="00724E1B"/>
    <w:rsid w:val="00725949"/>
    <w:rsid w:val="00726C74"/>
    <w:rsid w:val="00727FA2"/>
    <w:rsid w:val="007322D9"/>
    <w:rsid w:val="00732BC0"/>
    <w:rsid w:val="0073720F"/>
    <w:rsid w:val="00737796"/>
    <w:rsid w:val="0074165C"/>
    <w:rsid w:val="00742C35"/>
    <w:rsid w:val="007432CA"/>
    <w:rsid w:val="007439EB"/>
    <w:rsid w:val="00743CB4"/>
    <w:rsid w:val="00743F0A"/>
    <w:rsid w:val="007444E8"/>
    <w:rsid w:val="0074548E"/>
    <w:rsid w:val="00745773"/>
    <w:rsid w:val="00746800"/>
    <w:rsid w:val="007501A8"/>
    <w:rsid w:val="00750D61"/>
    <w:rsid w:val="00750EE1"/>
    <w:rsid w:val="00752B4D"/>
    <w:rsid w:val="0075434D"/>
    <w:rsid w:val="00755402"/>
    <w:rsid w:val="00756B26"/>
    <w:rsid w:val="00756EDF"/>
    <w:rsid w:val="007600E3"/>
    <w:rsid w:val="00765C43"/>
    <w:rsid w:val="00765EFB"/>
    <w:rsid w:val="007671CA"/>
    <w:rsid w:val="00767C61"/>
    <w:rsid w:val="0077008A"/>
    <w:rsid w:val="00773C1F"/>
    <w:rsid w:val="00774DA4"/>
    <w:rsid w:val="00776599"/>
    <w:rsid w:val="0078114B"/>
    <w:rsid w:val="00781DD2"/>
    <w:rsid w:val="00782207"/>
    <w:rsid w:val="00783ECF"/>
    <w:rsid w:val="0078413A"/>
    <w:rsid w:val="007959E8"/>
    <w:rsid w:val="00795E9C"/>
    <w:rsid w:val="007A0521"/>
    <w:rsid w:val="007A2E12"/>
    <w:rsid w:val="007A3475"/>
    <w:rsid w:val="007A41C8"/>
    <w:rsid w:val="007A54CE"/>
    <w:rsid w:val="007A5D3A"/>
    <w:rsid w:val="007A6FD9"/>
    <w:rsid w:val="007A7FFA"/>
    <w:rsid w:val="007B04EB"/>
    <w:rsid w:val="007B0D4F"/>
    <w:rsid w:val="007B5A3D"/>
    <w:rsid w:val="007B5B95"/>
    <w:rsid w:val="007B6032"/>
    <w:rsid w:val="007B68EA"/>
    <w:rsid w:val="007B7453"/>
    <w:rsid w:val="007C2D89"/>
    <w:rsid w:val="007C4593"/>
    <w:rsid w:val="007C5309"/>
    <w:rsid w:val="007C6069"/>
    <w:rsid w:val="007D06C4"/>
    <w:rsid w:val="007D1352"/>
    <w:rsid w:val="007D2508"/>
    <w:rsid w:val="007D346A"/>
    <w:rsid w:val="007D6518"/>
    <w:rsid w:val="007D76BD"/>
    <w:rsid w:val="007E0BF1"/>
    <w:rsid w:val="007F0ED8"/>
    <w:rsid w:val="007F0F63"/>
    <w:rsid w:val="007F75CE"/>
    <w:rsid w:val="008013A4"/>
    <w:rsid w:val="008027CE"/>
    <w:rsid w:val="00802F42"/>
    <w:rsid w:val="00804383"/>
    <w:rsid w:val="00804BB7"/>
    <w:rsid w:val="00804D41"/>
    <w:rsid w:val="00810257"/>
    <w:rsid w:val="008104F5"/>
    <w:rsid w:val="00811072"/>
    <w:rsid w:val="00811369"/>
    <w:rsid w:val="00815419"/>
    <w:rsid w:val="008163C8"/>
    <w:rsid w:val="008164A1"/>
    <w:rsid w:val="00817325"/>
    <w:rsid w:val="008209E6"/>
    <w:rsid w:val="00821D19"/>
    <w:rsid w:val="00823303"/>
    <w:rsid w:val="008233B2"/>
    <w:rsid w:val="00823A9F"/>
    <w:rsid w:val="00823C85"/>
    <w:rsid w:val="00825138"/>
    <w:rsid w:val="008269DD"/>
    <w:rsid w:val="00830621"/>
    <w:rsid w:val="0083348C"/>
    <w:rsid w:val="008373D3"/>
    <w:rsid w:val="00840617"/>
    <w:rsid w:val="00840F84"/>
    <w:rsid w:val="00842A47"/>
    <w:rsid w:val="00843C13"/>
    <w:rsid w:val="00843DEF"/>
    <w:rsid w:val="008454F8"/>
    <w:rsid w:val="0085173A"/>
    <w:rsid w:val="00852EAD"/>
    <w:rsid w:val="008603CE"/>
    <w:rsid w:val="008620FC"/>
    <w:rsid w:val="008627A5"/>
    <w:rsid w:val="00863E05"/>
    <w:rsid w:val="00865ACA"/>
    <w:rsid w:val="00865D28"/>
    <w:rsid w:val="00865F85"/>
    <w:rsid w:val="00867C10"/>
    <w:rsid w:val="00870439"/>
    <w:rsid w:val="00870DA1"/>
    <w:rsid w:val="00883F93"/>
    <w:rsid w:val="00884DB3"/>
    <w:rsid w:val="00885A9D"/>
    <w:rsid w:val="008864F6"/>
    <w:rsid w:val="0089049D"/>
    <w:rsid w:val="008928C9"/>
    <w:rsid w:val="008930CB"/>
    <w:rsid w:val="008938DC"/>
    <w:rsid w:val="00893FD1"/>
    <w:rsid w:val="00894836"/>
    <w:rsid w:val="00895172"/>
    <w:rsid w:val="00895680"/>
    <w:rsid w:val="00896DFF"/>
    <w:rsid w:val="0089762C"/>
    <w:rsid w:val="008A173B"/>
    <w:rsid w:val="008A1893"/>
    <w:rsid w:val="008A40F6"/>
    <w:rsid w:val="008A57E6"/>
    <w:rsid w:val="008A6F81"/>
    <w:rsid w:val="008A769A"/>
    <w:rsid w:val="008B0C9C"/>
    <w:rsid w:val="008B166D"/>
    <w:rsid w:val="008B17F4"/>
    <w:rsid w:val="008B3615"/>
    <w:rsid w:val="008B4AC4"/>
    <w:rsid w:val="008B50C8"/>
    <w:rsid w:val="008B5281"/>
    <w:rsid w:val="008B7E05"/>
    <w:rsid w:val="008C1797"/>
    <w:rsid w:val="008C219C"/>
    <w:rsid w:val="008C475E"/>
    <w:rsid w:val="008C619A"/>
    <w:rsid w:val="008D0CE8"/>
    <w:rsid w:val="008D2D1D"/>
    <w:rsid w:val="008D453D"/>
    <w:rsid w:val="008D53AD"/>
    <w:rsid w:val="008D562B"/>
    <w:rsid w:val="008D5733"/>
    <w:rsid w:val="008D622B"/>
    <w:rsid w:val="008D666C"/>
    <w:rsid w:val="008D6A7C"/>
    <w:rsid w:val="008D7B54"/>
    <w:rsid w:val="008E0C9D"/>
    <w:rsid w:val="008E1648"/>
    <w:rsid w:val="008E1B3E"/>
    <w:rsid w:val="008E2319"/>
    <w:rsid w:val="008E4BB6"/>
    <w:rsid w:val="008E5518"/>
    <w:rsid w:val="008E6A84"/>
    <w:rsid w:val="008E7982"/>
    <w:rsid w:val="008F0CDC"/>
    <w:rsid w:val="008F17A3"/>
    <w:rsid w:val="008F1ED3"/>
    <w:rsid w:val="008F3518"/>
    <w:rsid w:val="008F4C29"/>
    <w:rsid w:val="008F70BD"/>
    <w:rsid w:val="008F788F"/>
    <w:rsid w:val="008F7EA2"/>
    <w:rsid w:val="00902722"/>
    <w:rsid w:val="009027BC"/>
    <w:rsid w:val="009062E6"/>
    <w:rsid w:val="00911BE5"/>
    <w:rsid w:val="00913CA9"/>
    <w:rsid w:val="009145AE"/>
    <w:rsid w:val="009146CE"/>
    <w:rsid w:val="009147F4"/>
    <w:rsid w:val="00914CA7"/>
    <w:rsid w:val="00915C3E"/>
    <w:rsid w:val="009161A8"/>
    <w:rsid w:val="009245AE"/>
    <w:rsid w:val="009245F5"/>
    <w:rsid w:val="009249EC"/>
    <w:rsid w:val="009273B3"/>
    <w:rsid w:val="009305B5"/>
    <w:rsid w:val="009378DD"/>
    <w:rsid w:val="009429D5"/>
    <w:rsid w:val="00942BF1"/>
    <w:rsid w:val="00945180"/>
    <w:rsid w:val="00945428"/>
    <w:rsid w:val="0094607B"/>
    <w:rsid w:val="00953604"/>
    <w:rsid w:val="0095496B"/>
    <w:rsid w:val="00960F1E"/>
    <w:rsid w:val="009610DC"/>
    <w:rsid w:val="00961490"/>
    <w:rsid w:val="0096381A"/>
    <w:rsid w:val="00965E04"/>
    <w:rsid w:val="009674AD"/>
    <w:rsid w:val="00970CDC"/>
    <w:rsid w:val="00975727"/>
    <w:rsid w:val="00977010"/>
    <w:rsid w:val="00977D02"/>
    <w:rsid w:val="00977FF9"/>
    <w:rsid w:val="009809BB"/>
    <w:rsid w:val="0098364B"/>
    <w:rsid w:val="009908A3"/>
    <w:rsid w:val="009911AF"/>
    <w:rsid w:val="00991875"/>
    <w:rsid w:val="00991F92"/>
    <w:rsid w:val="00992985"/>
    <w:rsid w:val="00993889"/>
    <w:rsid w:val="0099551B"/>
    <w:rsid w:val="00996BD2"/>
    <w:rsid w:val="00997BF1"/>
    <w:rsid w:val="009A089C"/>
    <w:rsid w:val="009A118E"/>
    <w:rsid w:val="009A21CD"/>
    <w:rsid w:val="009A278C"/>
    <w:rsid w:val="009A2BC2"/>
    <w:rsid w:val="009A42C1"/>
    <w:rsid w:val="009A5429"/>
    <w:rsid w:val="009A72AD"/>
    <w:rsid w:val="009B09E0"/>
    <w:rsid w:val="009B0BC5"/>
    <w:rsid w:val="009B1247"/>
    <w:rsid w:val="009B6029"/>
    <w:rsid w:val="009B6971"/>
    <w:rsid w:val="009C27F1"/>
    <w:rsid w:val="009C3152"/>
    <w:rsid w:val="009C3257"/>
    <w:rsid w:val="009C4CFA"/>
    <w:rsid w:val="009C5070"/>
    <w:rsid w:val="009D112C"/>
    <w:rsid w:val="009D1385"/>
    <w:rsid w:val="009D47FA"/>
    <w:rsid w:val="009D4C5B"/>
    <w:rsid w:val="009D50D2"/>
    <w:rsid w:val="009D6BCA"/>
    <w:rsid w:val="009E0F62"/>
    <w:rsid w:val="009E4A58"/>
    <w:rsid w:val="009E5A2D"/>
    <w:rsid w:val="009E5AB2"/>
    <w:rsid w:val="009E6219"/>
    <w:rsid w:val="009F03B3"/>
    <w:rsid w:val="00A0096C"/>
    <w:rsid w:val="00A01757"/>
    <w:rsid w:val="00A028C0"/>
    <w:rsid w:val="00A02BAE"/>
    <w:rsid w:val="00A06A6B"/>
    <w:rsid w:val="00A07E47"/>
    <w:rsid w:val="00A129D0"/>
    <w:rsid w:val="00A12C33"/>
    <w:rsid w:val="00A138BA"/>
    <w:rsid w:val="00A14C8E"/>
    <w:rsid w:val="00A153D9"/>
    <w:rsid w:val="00A15F09"/>
    <w:rsid w:val="00A169B6"/>
    <w:rsid w:val="00A21E63"/>
    <w:rsid w:val="00A2271D"/>
    <w:rsid w:val="00A237D5"/>
    <w:rsid w:val="00A30EFC"/>
    <w:rsid w:val="00A31984"/>
    <w:rsid w:val="00A32D73"/>
    <w:rsid w:val="00A3367B"/>
    <w:rsid w:val="00A33C67"/>
    <w:rsid w:val="00A3597D"/>
    <w:rsid w:val="00A36DD1"/>
    <w:rsid w:val="00A4006C"/>
    <w:rsid w:val="00A40091"/>
    <w:rsid w:val="00A4030F"/>
    <w:rsid w:val="00A41C79"/>
    <w:rsid w:val="00A41CB5"/>
    <w:rsid w:val="00A42CDF"/>
    <w:rsid w:val="00A43EA9"/>
    <w:rsid w:val="00A4452E"/>
    <w:rsid w:val="00A4472C"/>
    <w:rsid w:val="00A44E69"/>
    <w:rsid w:val="00A4661E"/>
    <w:rsid w:val="00A55BD6"/>
    <w:rsid w:val="00A55D50"/>
    <w:rsid w:val="00A57142"/>
    <w:rsid w:val="00A648CD"/>
    <w:rsid w:val="00A6537A"/>
    <w:rsid w:val="00A67866"/>
    <w:rsid w:val="00A70B07"/>
    <w:rsid w:val="00A723F8"/>
    <w:rsid w:val="00A77CCB"/>
    <w:rsid w:val="00A83D8D"/>
    <w:rsid w:val="00A8446B"/>
    <w:rsid w:val="00A8473F"/>
    <w:rsid w:val="00A862D6"/>
    <w:rsid w:val="00A8715E"/>
    <w:rsid w:val="00A9295B"/>
    <w:rsid w:val="00A93B09"/>
    <w:rsid w:val="00A952D7"/>
    <w:rsid w:val="00A963F7"/>
    <w:rsid w:val="00A96AD8"/>
    <w:rsid w:val="00AA052C"/>
    <w:rsid w:val="00AA1E45"/>
    <w:rsid w:val="00AA4286"/>
    <w:rsid w:val="00AA456B"/>
    <w:rsid w:val="00AA57F5"/>
    <w:rsid w:val="00AA672E"/>
    <w:rsid w:val="00AA6EC9"/>
    <w:rsid w:val="00AB6309"/>
    <w:rsid w:val="00AB6C5F"/>
    <w:rsid w:val="00AB7129"/>
    <w:rsid w:val="00AC27A6"/>
    <w:rsid w:val="00AC30F7"/>
    <w:rsid w:val="00AC3A5A"/>
    <w:rsid w:val="00AC4D95"/>
    <w:rsid w:val="00AC5DF4"/>
    <w:rsid w:val="00AD0AEF"/>
    <w:rsid w:val="00AD11B7"/>
    <w:rsid w:val="00AD1A94"/>
    <w:rsid w:val="00AD1C05"/>
    <w:rsid w:val="00AD4126"/>
    <w:rsid w:val="00AD421C"/>
    <w:rsid w:val="00AD44FA"/>
    <w:rsid w:val="00AE070A"/>
    <w:rsid w:val="00AE101C"/>
    <w:rsid w:val="00AE2A69"/>
    <w:rsid w:val="00AE37E5"/>
    <w:rsid w:val="00AE5EB4"/>
    <w:rsid w:val="00AF0C18"/>
    <w:rsid w:val="00AF47C5"/>
    <w:rsid w:val="00AF5398"/>
    <w:rsid w:val="00B049AF"/>
    <w:rsid w:val="00B06560"/>
    <w:rsid w:val="00B07242"/>
    <w:rsid w:val="00B10534"/>
    <w:rsid w:val="00B113DB"/>
    <w:rsid w:val="00B11D8A"/>
    <w:rsid w:val="00B12981"/>
    <w:rsid w:val="00B147DD"/>
    <w:rsid w:val="00B156FD"/>
    <w:rsid w:val="00B1570A"/>
    <w:rsid w:val="00B21F61"/>
    <w:rsid w:val="00B261F1"/>
    <w:rsid w:val="00B265BC"/>
    <w:rsid w:val="00B31FB1"/>
    <w:rsid w:val="00B33952"/>
    <w:rsid w:val="00B33C5E"/>
    <w:rsid w:val="00B342F4"/>
    <w:rsid w:val="00B34369"/>
    <w:rsid w:val="00B34DC2"/>
    <w:rsid w:val="00B378E5"/>
    <w:rsid w:val="00B4346D"/>
    <w:rsid w:val="00B440F4"/>
    <w:rsid w:val="00B447A5"/>
    <w:rsid w:val="00B4654C"/>
    <w:rsid w:val="00B47293"/>
    <w:rsid w:val="00B50E50"/>
    <w:rsid w:val="00B52120"/>
    <w:rsid w:val="00B54ABC"/>
    <w:rsid w:val="00B56FBE"/>
    <w:rsid w:val="00B60ACF"/>
    <w:rsid w:val="00B62B58"/>
    <w:rsid w:val="00B65149"/>
    <w:rsid w:val="00B66567"/>
    <w:rsid w:val="00B66F52"/>
    <w:rsid w:val="00B66FE5"/>
    <w:rsid w:val="00B72880"/>
    <w:rsid w:val="00B758BF"/>
    <w:rsid w:val="00B77EC8"/>
    <w:rsid w:val="00B827A6"/>
    <w:rsid w:val="00B831CE"/>
    <w:rsid w:val="00B86677"/>
    <w:rsid w:val="00B87131"/>
    <w:rsid w:val="00B939B1"/>
    <w:rsid w:val="00B96D40"/>
    <w:rsid w:val="00B97386"/>
    <w:rsid w:val="00BA263B"/>
    <w:rsid w:val="00BA42B2"/>
    <w:rsid w:val="00BA58D4"/>
    <w:rsid w:val="00BA5B9E"/>
    <w:rsid w:val="00BA7C9A"/>
    <w:rsid w:val="00BB5F8F"/>
    <w:rsid w:val="00BB657A"/>
    <w:rsid w:val="00BC1A4E"/>
    <w:rsid w:val="00BC5DC7"/>
    <w:rsid w:val="00BC6B8B"/>
    <w:rsid w:val="00BC73D8"/>
    <w:rsid w:val="00BD52D7"/>
    <w:rsid w:val="00BD5AD2"/>
    <w:rsid w:val="00BE22F3"/>
    <w:rsid w:val="00BE5B52"/>
    <w:rsid w:val="00BE7B8D"/>
    <w:rsid w:val="00BF0993"/>
    <w:rsid w:val="00BF10A9"/>
    <w:rsid w:val="00BF1703"/>
    <w:rsid w:val="00BF231C"/>
    <w:rsid w:val="00BF51E5"/>
    <w:rsid w:val="00BF74A6"/>
    <w:rsid w:val="00C013AD"/>
    <w:rsid w:val="00C04904"/>
    <w:rsid w:val="00C056B3"/>
    <w:rsid w:val="00C103E5"/>
    <w:rsid w:val="00C13319"/>
    <w:rsid w:val="00C13EE9"/>
    <w:rsid w:val="00C21540"/>
    <w:rsid w:val="00C21906"/>
    <w:rsid w:val="00C21BFA"/>
    <w:rsid w:val="00C24C8D"/>
    <w:rsid w:val="00C25FE2"/>
    <w:rsid w:val="00C26B53"/>
    <w:rsid w:val="00C279B2"/>
    <w:rsid w:val="00C33E50"/>
    <w:rsid w:val="00C34C20"/>
    <w:rsid w:val="00C35A3E"/>
    <w:rsid w:val="00C42130"/>
    <w:rsid w:val="00C423A4"/>
    <w:rsid w:val="00C423E3"/>
    <w:rsid w:val="00C44BF5"/>
    <w:rsid w:val="00C521D6"/>
    <w:rsid w:val="00C55232"/>
    <w:rsid w:val="00C553A4"/>
    <w:rsid w:val="00C55A06"/>
    <w:rsid w:val="00C55D03"/>
    <w:rsid w:val="00C601BC"/>
    <w:rsid w:val="00C6329F"/>
    <w:rsid w:val="00C63340"/>
    <w:rsid w:val="00C643F9"/>
    <w:rsid w:val="00C64E95"/>
    <w:rsid w:val="00C71372"/>
    <w:rsid w:val="00C72410"/>
    <w:rsid w:val="00C7287F"/>
    <w:rsid w:val="00C80CB8"/>
    <w:rsid w:val="00C819F8"/>
    <w:rsid w:val="00C8248C"/>
    <w:rsid w:val="00C84E33"/>
    <w:rsid w:val="00C86D6F"/>
    <w:rsid w:val="00C905FC"/>
    <w:rsid w:val="00C92D03"/>
    <w:rsid w:val="00C9319C"/>
    <w:rsid w:val="00C9435D"/>
    <w:rsid w:val="00C94DF2"/>
    <w:rsid w:val="00C96741"/>
    <w:rsid w:val="00CA2D1B"/>
    <w:rsid w:val="00CA375D"/>
    <w:rsid w:val="00CA662A"/>
    <w:rsid w:val="00CA7AFD"/>
    <w:rsid w:val="00CA7C3C"/>
    <w:rsid w:val="00CB0189"/>
    <w:rsid w:val="00CB0BA2"/>
    <w:rsid w:val="00CB1A42"/>
    <w:rsid w:val="00CB1B0C"/>
    <w:rsid w:val="00CB2C0B"/>
    <w:rsid w:val="00CB517D"/>
    <w:rsid w:val="00CC038D"/>
    <w:rsid w:val="00CC08DB"/>
    <w:rsid w:val="00CC39FF"/>
    <w:rsid w:val="00CC3C2F"/>
    <w:rsid w:val="00CC4AC8"/>
    <w:rsid w:val="00CC5233"/>
    <w:rsid w:val="00CC5DE6"/>
    <w:rsid w:val="00CC6E4E"/>
    <w:rsid w:val="00CC6FE8"/>
    <w:rsid w:val="00CC7202"/>
    <w:rsid w:val="00CD2808"/>
    <w:rsid w:val="00CD28BF"/>
    <w:rsid w:val="00CD4092"/>
    <w:rsid w:val="00CD4A20"/>
    <w:rsid w:val="00CD50A1"/>
    <w:rsid w:val="00CD519E"/>
    <w:rsid w:val="00CE0C4F"/>
    <w:rsid w:val="00CE30EA"/>
    <w:rsid w:val="00CF048A"/>
    <w:rsid w:val="00CF155A"/>
    <w:rsid w:val="00CF2947"/>
    <w:rsid w:val="00CF686F"/>
    <w:rsid w:val="00CF6E60"/>
    <w:rsid w:val="00CF7BCA"/>
    <w:rsid w:val="00D008FD"/>
    <w:rsid w:val="00D0321C"/>
    <w:rsid w:val="00D035EC"/>
    <w:rsid w:val="00D06AB1"/>
    <w:rsid w:val="00D06FC1"/>
    <w:rsid w:val="00D072ED"/>
    <w:rsid w:val="00D07A16"/>
    <w:rsid w:val="00D1067E"/>
    <w:rsid w:val="00D10F50"/>
    <w:rsid w:val="00D11272"/>
    <w:rsid w:val="00D126F5"/>
    <w:rsid w:val="00D1489E"/>
    <w:rsid w:val="00D20737"/>
    <w:rsid w:val="00D21E81"/>
    <w:rsid w:val="00D223DE"/>
    <w:rsid w:val="00D25E37"/>
    <w:rsid w:val="00D2661A"/>
    <w:rsid w:val="00D27582"/>
    <w:rsid w:val="00D27EC4"/>
    <w:rsid w:val="00D32719"/>
    <w:rsid w:val="00D33333"/>
    <w:rsid w:val="00D352A2"/>
    <w:rsid w:val="00D4162B"/>
    <w:rsid w:val="00D4514F"/>
    <w:rsid w:val="00D451E2"/>
    <w:rsid w:val="00D45E89"/>
    <w:rsid w:val="00D45E8D"/>
    <w:rsid w:val="00D466AE"/>
    <w:rsid w:val="00D4734F"/>
    <w:rsid w:val="00D51BF3"/>
    <w:rsid w:val="00D66846"/>
    <w:rsid w:val="00D675FB"/>
    <w:rsid w:val="00D71F25"/>
    <w:rsid w:val="00D72A9C"/>
    <w:rsid w:val="00D77031"/>
    <w:rsid w:val="00D84941"/>
    <w:rsid w:val="00D84FA1"/>
    <w:rsid w:val="00D851F0"/>
    <w:rsid w:val="00D86DB7"/>
    <w:rsid w:val="00D87BF5"/>
    <w:rsid w:val="00D90721"/>
    <w:rsid w:val="00D926D0"/>
    <w:rsid w:val="00D93030"/>
    <w:rsid w:val="00D950E1"/>
    <w:rsid w:val="00D952A6"/>
    <w:rsid w:val="00D97F99"/>
    <w:rsid w:val="00DA1E08"/>
    <w:rsid w:val="00DA24F8"/>
    <w:rsid w:val="00DA28E8"/>
    <w:rsid w:val="00DA38D3"/>
    <w:rsid w:val="00DA3932"/>
    <w:rsid w:val="00DA3AFC"/>
    <w:rsid w:val="00DA64F8"/>
    <w:rsid w:val="00DA6C15"/>
    <w:rsid w:val="00DB0258"/>
    <w:rsid w:val="00DB38EE"/>
    <w:rsid w:val="00DB498B"/>
    <w:rsid w:val="00DB66CA"/>
    <w:rsid w:val="00DB6BCA"/>
    <w:rsid w:val="00DB6F54"/>
    <w:rsid w:val="00DB73F7"/>
    <w:rsid w:val="00DC0321"/>
    <w:rsid w:val="00DC3067"/>
    <w:rsid w:val="00DC370B"/>
    <w:rsid w:val="00DC5B90"/>
    <w:rsid w:val="00DD00FF"/>
    <w:rsid w:val="00DD0619"/>
    <w:rsid w:val="00DD07FB"/>
    <w:rsid w:val="00DD25C6"/>
    <w:rsid w:val="00DD4FE5"/>
    <w:rsid w:val="00DD54B0"/>
    <w:rsid w:val="00DD57EE"/>
    <w:rsid w:val="00DD6BCC"/>
    <w:rsid w:val="00DE0A4B"/>
    <w:rsid w:val="00DE2410"/>
    <w:rsid w:val="00DE2939"/>
    <w:rsid w:val="00DE6E81"/>
    <w:rsid w:val="00DE703F"/>
    <w:rsid w:val="00DE7595"/>
    <w:rsid w:val="00DF1961"/>
    <w:rsid w:val="00DF44DE"/>
    <w:rsid w:val="00E01138"/>
    <w:rsid w:val="00E02DFB"/>
    <w:rsid w:val="00E030F9"/>
    <w:rsid w:val="00E0311A"/>
    <w:rsid w:val="00E03138"/>
    <w:rsid w:val="00E06404"/>
    <w:rsid w:val="00E11A85"/>
    <w:rsid w:val="00E12495"/>
    <w:rsid w:val="00E15CCD"/>
    <w:rsid w:val="00E202EF"/>
    <w:rsid w:val="00E210B5"/>
    <w:rsid w:val="00E2552F"/>
    <w:rsid w:val="00E3137A"/>
    <w:rsid w:val="00E32CCF"/>
    <w:rsid w:val="00E34A98"/>
    <w:rsid w:val="00E35D1E"/>
    <w:rsid w:val="00E364F9"/>
    <w:rsid w:val="00E365FA"/>
    <w:rsid w:val="00E36789"/>
    <w:rsid w:val="00E44A83"/>
    <w:rsid w:val="00E502C1"/>
    <w:rsid w:val="00E502DD"/>
    <w:rsid w:val="00E50D3A"/>
    <w:rsid w:val="00E51387"/>
    <w:rsid w:val="00E51E68"/>
    <w:rsid w:val="00E52EFD"/>
    <w:rsid w:val="00E5408A"/>
    <w:rsid w:val="00E56800"/>
    <w:rsid w:val="00E60C63"/>
    <w:rsid w:val="00E61219"/>
    <w:rsid w:val="00E62FF9"/>
    <w:rsid w:val="00E635D6"/>
    <w:rsid w:val="00E639BC"/>
    <w:rsid w:val="00E664CC"/>
    <w:rsid w:val="00E70388"/>
    <w:rsid w:val="00E70F92"/>
    <w:rsid w:val="00E74313"/>
    <w:rsid w:val="00E74C54"/>
    <w:rsid w:val="00E77A03"/>
    <w:rsid w:val="00E822E8"/>
    <w:rsid w:val="00E82554"/>
    <w:rsid w:val="00E82606"/>
    <w:rsid w:val="00E831C1"/>
    <w:rsid w:val="00E846C8"/>
    <w:rsid w:val="00E84957"/>
    <w:rsid w:val="00E84A55"/>
    <w:rsid w:val="00E85BFF"/>
    <w:rsid w:val="00E90391"/>
    <w:rsid w:val="00E906C2"/>
    <w:rsid w:val="00E9311F"/>
    <w:rsid w:val="00E934D1"/>
    <w:rsid w:val="00E94AF0"/>
    <w:rsid w:val="00E95D13"/>
    <w:rsid w:val="00E95DD3"/>
    <w:rsid w:val="00E969D5"/>
    <w:rsid w:val="00E97B85"/>
    <w:rsid w:val="00EA58D1"/>
    <w:rsid w:val="00EA61BC"/>
    <w:rsid w:val="00EA681A"/>
    <w:rsid w:val="00EA735B"/>
    <w:rsid w:val="00EB1E69"/>
    <w:rsid w:val="00EB2086"/>
    <w:rsid w:val="00EB31ED"/>
    <w:rsid w:val="00EB5EDF"/>
    <w:rsid w:val="00EB60FE"/>
    <w:rsid w:val="00EB74DB"/>
    <w:rsid w:val="00EC5359"/>
    <w:rsid w:val="00EC562A"/>
    <w:rsid w:val="00ED067A"/>
    <w:rsid w:val="00ED2264"/>
    <w:rsid w:val="00ED2B50"/>
    <w:rsid w:val="00EE0350"/>
    <w:rsid w:val="00EE0719"/>
    <w:rsid w:val="00EE0E80"/>
    <w:rsid w:val="00EE20E8"/>
    <w:rsid w:val="00EE613F"/>
    <w:rsid w:val="00EE7295"/>
    <w:rsid w:val="00EE7869"/>
    <w:rsid w:val="00EF054A"/>
    <w:rsid w:val="00EF3235"/>
    <w:rsid w:val="00EF4ABD"/>
    <w:rsid w:val="00EF7E72"/>
    <w:rsid w:val="00F05455"/>
    <w:rsid w:val="00F06D37"/>
    <w:rsid w:val="00F07B9D"/>
    <w:rsid w:val="00F11586"/>
    <w:rsid w:val="00F1183B"/>
    <w:rsid w:val="00F11C9F"/>
    <w:rsid w:val="00F12263"/>
    <w:rsid w:val="00F1409D"/>
    <w:rsid w:val="00F14214"/>
    <w:rsid w:val="00F157A9"/>
    <w:rsid w:val="00F16F00"/>
    <w:rsid w:val="00F25BB6"/>
    <w:rsid w:val="00F26B7E"/>
    <w:rsid w:val="00F27A3B"/>
    <w:rsid w:val="00F32780"/>
    <w:rsid w:val="00F33817"/>
    <w:rsid w:val="00F420D5"/>
    <w:rsid w:val="00F451EA"/>
    <w:rsid w:val="00F45447"/>
    <w:rsid w:val="00F456C6"/>
    <w:rsid w:val="00F4577B"/>
    <w:rsid w:val="00F46496"/>
    <w:rsid w:val="00F474D0"/>
    <w:rsid w:val="00F50179"/>
    <w:rsid w:val="00F515EE"/>
    <w:rsid w:val="00F56511"/>
    <w:rsid w:val="00F6194E"/>
    <w:rsid w:val="00F623AC"/>
    <w:rsid w:val="00F6412A"/>
    <w:rsid w:val="00F65893"/>
    <w:rsid w:val="00F66A4A"/>
    <w:rsid w:val="00F71E22"/>
    <w:rsid w:val="00F72142"/>
    <w:rsid w:val="00F72AE7"/>
    <w:rsid w:val="00F833BA"/>
    <w:rsid w:val="00F84FD0"/>
    <w:rsid w:val="00F859A8"/>
    <w:rsid w:val="00F86D87"/>
    <w:rsid w:val="00F9108B"/>
    <w:rsid w:val="00F91349"/>
    <w:rsid w:val="00F93A8A"/>
    <w:rsid w:val="00F95248"/>
    <w:rsid w:val="00F956A9"/>
    <w:rsid w:val="00F963ED"/>
    <w:rsid w:val="00F966CF"/>
    <w:rsid w:val="00F96CAE"/>
    <w:rsid w:val="00F97C99"/>
    <w:rsid w:val="00FA662D"/>
    <w:rsid w:val="00FA73B1"/>
    <w:rsid w:val="00FB0CB9"/>
    <w:rsid w:val="00FB231D"/>
    <w:rsid w:val="00FB45F1"/>
    <w:rsid w:val="00FB4A72"/>
    <w:rsid w:val="00FB54E8"/>
    <w:rsid w:val="00FB7054"/>
    <w:rsid w:val="00FC17B7"/>
    <w:rsid w:val="00FC2CB7"/>
    <w:rsid w:val="00FC4090"/>
    <w:rsid w:val="00FC55B4"/>
    <w:rsid w:val="00FD00E6"/>
    <w:rsid w:val="00FD09A1"/>
    <w:rsid w:val="00FD2A7C"/>
    <w:rsid w:val="00FD59EB"/>
    <w:rsid w:val="00FD7299"/>
    <w:rsid w:val="00FE1FBE"/>
    <w:rsid w:val="00FE3901"/>
    <w:rsid w:val="00FE39D3"/>
    <w:rsid w:val="00FE4BCE"/>
    <w:rsid w:val="00FE54AE"/>
    <w:rsid w:val="00FE576A"/>
    <w:rsid w:val="00FE7E79"/>
    <w:rsid w:val="00FF3E7D"/>
    <w:rsid w:val="00FF5B99"/>
    <w:rsid w:val="00FF6AC9"/>
    <w:rsid w:val="00FF730C"/>
    <w:rsid w:val="00FF73F4"/>
    <w:rsid w:val="00FF7CE4"/>
    <w:rsid w:val="00FF7E39"/>
    <w:rsid w:val="02727FA4"/>
    <w:rsid w:val="02E70A40"/>
    <w:rsid w:val="034B7DB5"/>
    <w:rsid w:val="06F56C2B"/>
    <w:rsid w:val="0978425B"/>
    <w:rsid w:val="0C583B32"/>
    <w:rsid w:val="0D55289F"/>
    <w:rsid w:val="0EC94A60"/>
    <w:rsid w:val="10146EE8"/>
    <w:rsid w:val="161A3F9E"/>
    <w:rsid w:val="180841A7"/>
    <w:rsid w:val="189660E1"/>
    <w:rsid w:val="18FC1232"/>
    <w:rsid w:val="19B81AED"/>
    <w:rsid w:val="1A7D66E6"/>
    <w:rsid w:val="1C303F4D"/>
    <w:rsid w:val="221E325E"/>
    <w:rsid w:val="222861CF"/>
    <w:rsid w:val="23F0675E"/>
    <w:rsid w:val="27B5022D"/>
    <w:rsid w:val="2975689D"/>
    <w:rsid w:val="29E543B1"/>
    <w:rsid w:val="2BD31F12"/>
    <w:rsid w:val="2C7A1CCF"/>
    <w:rsid w:val="31387117"/>
    <w:rsid w:val="346E6803"/>
    <w:rsid w:val="35D3648E"/>
    <w:rsid w:val="39C9085A"/>
    <w:rsid w:val="3A8404D4"/>
    <w:rsid w:val="3C4912C0"/>
    <w:rsid w:val="3DCE50EF"/>
    <w:rsid w:val="412F73C6"/>
    <w:rsid w:val="41546AD7"/>
    <w:rsid w:val="46E501D5"/>
    <w:rsid w:val="4AB77724"/>
    <w:rsid w:val="4C555FE2"/>
    <w:rsid w:val="4CF83380"/>
    <w:rsid w:val="4D6C0FAE"/>
    <w:rsid w:val="4F7B74BC"/>
    <w:rsid w:val="51422684"/>
    <w:rsid w:val="515F79A9"/>
    <w:rsid w:val="517E755D"/>
    <w:rsid w:val="577949F3"/>
    <w:rsid w:val="5A4F5C5A"/>
    <w:rsid w:val="5FEA17A7"/>
    <w:rsid w:val="601B069C"/>
    <w:rsid w:val="608B2761"/>
    <w:rsid w:val="60DF561A"/>
    <w:rsid w:val="61497B2C"/>
    <w:rsid w:val="638E328B"/>
    <w:rsid w:val="63C16B56"/>
    <w:rsid w:val="66456B14"/>
    <w:rsid w:val="694E17D6"/>
    <w:rsid w:val="6B8E6784"/>
    <w:rsid w:val="6C6D165C"/>
    <w:rsid w:val="6CF25111"/>
    <w:rsid w:val="6DE10D51"/>
    <w:rsid w:val="70174317"/>
    <w:rsid w:val="71A35C7D"/>
    <w:rsid w:val="7F5A1B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uiPriority="0" w:name="toc 8"/>
    <w:lsdException w:uiPriority="0" w:name="toc 9"/>
    <w:lsdException w:qFormat="1" w:unhideWhenUsed="0" w:uiPriority="0" w:semiHidden="0" w:name="Normal Indent"/>
    <w:lsdException w:qFormat="1" w:unhideWhenUsed="0" w:uiPriority="0" w:name="footnote text"/>
    <w:lsdException w:qFormat="1" w:uiPriority="99"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qFormat="1" w:unhideWhenUsed="0" w:uiPriority="0" w:name="table of figures"/>
    <w:lsdException w:uiPriority="99" w:name="envelope address"/>
    <w:lsdException w:uiPriority="99" w:name="envelope return"/>
    <w:lsdException w:qFormat="1" w:unhideWhenUsed="0" w:uiPriority="0"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2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400" w:lineRule="exact"/>
      <w:jc w:val="both"/>
    </w:pPr>
    <w:rPr>
      <w:rFonts w:ascii="Calibri" w:hAnsi="Calibri" w:eastAsia="宋体" w:cs="Times New Roman"/>
      <w:kern w:val="2"/>
      <w:sz w:val="21"/>
      <w:szCs w:val="21"/>
      <w:lang w:val="en-US" w:eastAsia="zh-CN" w:bidi="ar-SA"/>
    </w:rPr>
  </w:style>
  <w:style w:type="paragraph" w:styleId="2">
    <w:name w:val="heading 1"/>
    <w:basedOn w:val="1"/>
    <w:next w:val="1"/>
    <w:link w:val="39"/>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40"/>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41"/>
    <w:qFormat/>
    <w:uiPriority w:val="0"/>
    <w:pPr>
      <w:keepNext/>
      <w:keepLines/>
      <w:spacing w:before="260" w:after="260" w:line="416" w:lineRule="auto"/>
      <w:outlineLvl w:val="2"/>
    </w:pPr>
    <w:rPr>
      <w:b/>
      <w:bCs/>
      <w:sz w:val="32"/>
      <w:szCs w:val="32"/>
    </w:rPr>
  </w:style>
  <w:style w:type="paragraph" w:styleId="5">
    <w:name w:val="heading 4"/>
    <w:basedOn w:val="1"/>
    <w:next w:val="1"/>
    <w:link w:val="42"/>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43"/>
    <w:qFormat/>
    <w:uiPriority w:val="0"/>
    <w:pPr>
      <w:keepNext/>
      <w:keepLines/>
      <w:adjustRightInd/>
      <w:spacing w:before="280" w:after="290" w:line="376" w:lineRule="auto"/>
      <w:outlineLvl w:val="4"/>
    </w:pPr>
    <w:rPr>
      <w:b/>
      <w:bCs/>
      <w:sz w:val="28"/>
      <w:szCs w:val="28"/>
    </w:rPr>
  </w:style>
  <w:style w:type="paragraph" w:styleId="7">
    <w:name w:val="heading 6"/>
    <w:basedOn w:val="1"/>
    <w:next w:val="1"/>
    <w:link w:val="44"/>
    <w:qFormat/>
    <w:uiPriority w:val="0"/>
    <w:pPr>
      <w:keepNext/>
      <w:keepLines/>
      <w:adjustRightInd/>
      <w:spacing w:before="240" w:after="64" w:line="320" w:lineRule="auto"/>
      <w:outlineLvl w:val="5"/>
    </w:pPr>
    <w:rPr>
      <w:rFonts w:ascii="Arial" w:hAnsi="Arial" w:eastAsia="黑体"/>
      <w:b/>
      <w:bCs/>
      <w:sz w:val="24"/>
      <w:szCs w:val="24"/>
    </w:rPr>
  </w:style>
  <w:style w:type="paragraph" w:styleId="8">
    <w:name w:val="heading 7"/>
    <w:basedOn w:val="1"/>
    <w:next w:val="1"/>
    <w:link w:val="45"/>
    <w:qFormat/>
    <w:uiPriority w:val="0"/>
    <w:pPr>
      <w:keepNext/>
      <w:keepLines/>
      <w:adjustRightInd/>
      <w:spacing w:before="240" w:after="64" w:line="320" w:lineRule="auto"/>
      <w:outlineLvl w:val="6"/>
    </w:pPr>
    <w:rPr>
      <w:b/>
      <w:bCs/>
      <w:sz w:val="24"/>
      <w:szCs w:val="24"/>
    </w:rPr>
  </w:style>
  <w:style w:type="paragraph" w:styleId="9">
    <w:name w:val="heading 8"/>
    <w:basedOn w:val="1"/>
    <w:next w:val="1"/>
    <w:link w:val="46"/>
    <w:qFormat/>
    <w:uiPriority w:val="0"/>
    <w:pPr>
      <w:keepNext/>
      <w:keepLines/>
      <w:adjustRightInd/>
      <w:spacing w:before="240" w:after="64" w:line="320" w:lineRule="auto"/>
      <w:outlineLvl w:val="7"/>
    </w:pPr>
    <w:rPr>
      <w:rFonts w:ascii="Arial" w:hAnsi="Arial" w:eastAsia="黑体"/>
      <w:sz w:val="24"/>
      <w:szCs w:val="24"/>
    </w:rPr>
  </w:style>
  <w:style w:type="paragraph" w:styleId="10">
    <w:name w:val="heading 9"/>
    <w:basedOn w:val="1"/>
    <w:next w:val="1"/>
    <w:link w:val="47"/>
    <w:qFormat/>
    <w:uiPriority w:val="0"/>
    <w:pPr>
      <w:keepNext/>
      <w:keepLines/>
      <w:adjustRightInd/>
      <w:spacing w:before="240" w:after="64" w:line="320" w:lineRule="auto"/>
      <w:outlineLvl w:val="8"/>
    </w:pPr>
    <w:rPr>
      <w:rFonts w:ascii="Arial" w:hAnsi="Arial" w:eastAsia="黑体"/>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autoRedefine/>
    <w:unhideWhenUsed/>
    <w:qFormat/>
    <w:uiPriority w:val="39"/>
    <w:pPr>
      <w:tabs>
        <w:tab w:val="right" w:leader="dot" w:pos="9344"/>
      </w:tabs>
      <w:spacing w:line="300" w:lineRule="exact"/>
      <w:ind w:left="1259"/>
    </w:pPr>
    <w:rPr>
      <w:rFonts w:ascii="宋体"/>
    </w:rPr>
  </w:style>
  <w:style w:type="paragraph" w:styleId="12">
    <w:name w:val="Normal Indent"/>
    <w:basedOn w:val="1"/>
    <w:qFormat/>
    <w:uiPriority w:val="0"/>
    <w:pPr>
      <w:ind w:firstLine="420"/>
    </w:pPr>
  </w:style>
  <w:style w:type="paragraph" w:styleId="13">
    <w:name w:val="annotation text"/>
    <w:basedOn w:val="1"/>
    <w:link w:val="238"/>
    <w:semiHidden/>
    <w:unhideWhenUsed/>
    <w:qFormat/>
    <w:uiPriority w:val="99"/>
    <w:pPr>
      <w:jc w:val="left"/>
    </w:pPr>
  </w:style>
  <w:style w:type="paragraph" w:styleId="14">
    <w:name w:val="Body Text"/>
    <w:basedOn w:val="1"/>
    <w:link w:val="91"/>
    <w:qFormat/>
    <w:uiPriority w:val="0"/>
    <w:pPr>
      <w:spacing w:after="120"/>
    </w:pPr>
  </w:style>
  <w:style w:type="paragraph" w:styleId="15">
    <w:name w:val="Body Text Indent"/>
    <w:basedOn w:val="1"/>
    <w:link w:val="236"/>
    <w:semiHidden/>
    <w:unhideWhenUsed/>
    <w:qFormat/>
    <w:uiPriority w:val="99"/>
    <w:pPr>
      <w:spacing w:after="120"/>
      <w:ind w:left="420" w:leftChars="200"/>
    </w:pPr>
  </w:style>
  <w:style w:type="paragraph" w:styleId="16">
    <w:name w:val="toc 5"/>
    <w:basedOn w:val="1"/>
    <w:next w:val="1"/>
    <w:autoRedefine/>
    <w:unhideWhenUsed/>
    <w:qFormat/>
    <w:uiPriority w:val="39"/>
    <w:pPr>
      <w:ind w:left="839"/>
    </w:pPr>
    <w:rPr>
      <w:rFonts w:ascii="宋体"/>
    </w:rPr>
  </w:style>
  <w:style w:type="paragraph" w:styleId="17">
    <w:name w:val="toc 3"/>
    <w:basedOn w:val="1"/>
    <w:next w:val="1"/>
    <w:autoRedefine/>
    <w:unhideWhenUsed/>
    <w:qFormat/>
    <w:uiPriority w:val="39"/>
    <w:pPr>
      <w:spacing w:line="300" w:lineRule="exact"/>
      <w:ind w:left="420"/>
    </w:pPr>
    <w:rPr>
      <w:rFonts w:ascii="宋体"/>
    </w:rPr>
  </w:style>
  <w:style w:type="paragraph" w:styleId="18">
    <w:name w:val="Balloon Text"/>
    <w:basedOn w:val="1"/>
    <w:link w:val="50"/>
    <w:semiHidden/>
    <w:unhideWhenUsed/>
    <w:qFormat/>
    <w:uiPriority w:val="99"/>
    <w:rPr>
      <w:sz w:val="18"/>
      <w:szCs w:val="18"/>
    </w:rPr>
  </w:style>
  <w:style w:type="paragraph" w:styleId="19">
    <w:name w:val="footer"/>
    <w:basedOn w:val="1"/>
    <w:link w:val="49"/>
    <w:qFormat/>
    <w:uiPriority w:val="99"/>
    <w:pPr>
      <w:tabs>
        <w:tab w:val="center" w:pos="4153"/>
        <w:tab w:val="right" w:pos="8306"/>
      </w:tabs>
      <w:adjustRightInd/>
      <w:snapToGrid w:val="0"/>
      <w:spacing w:line="240" w:lineRule="auto"/>
      <w:jc w:val="right"/>
    </w:pPr>
    <w:rPr>
      <w:rFonts w:ascii="宋体"/>
      <w:sz w:val="18"/>
      <w:szCs w:val="18"/>
    </w:rPr>
  </w:style>
  <w:style w:type="paragraph" w:styleId="20">
    <w:name w:val="header"/>
    <w:basedOn w:val="1"/>
    <w:link w:val="48"/>
    <w:qFormat/>
    <w:uiPriority w:val="99"/>
    <w:pPr>
      <w:tabs>
        <w:tab w:val="center" w:pos="4153"/>
        <w:tab w:val="right" w:pos="8306"/>
      </w:tabs>
      <w:adjustRightInd/>
      <w:snapToGrid w:val="0"/>
      <w:jc w:val="center"/>
    </w:pPr>
    <w:rPr>
      <w:sz w:val="18"/>
      <w:szCs w:val="18"/>
    </w:rPr>
  </w:style>
  <w:style w:type="paragraph" w:styleId="21">
    <w:name w:val="toc 1"/>
    <w:basedOn w:val="1"/>
    <w:next w:val="1"/>
    <w:autoRedefine/>
    <w:unhideWhenUsed/>
    <w:qFormat/>
    <w:uiPriority w:val="39"/>
    <w:rPr>
      <w:rFonts w:ascii="宋体"/>
    </w:rPr>
  </w:style>
  <w:style w:type="paragraph" w:styleId="22">
    <w:name w:val="toc 4"/>
    <w:basedOn w:val="1"/>
    <w:next w:val="1"/>
    <w:autoRedefine/>
    <w:unhideWhenUsed/>
    <w:qFormat/>
    <w:uiPriority w:val="39"/>
    <w:pPr>
      <w:tabs>
        <w:tab w:val="right" w:leader="dot" w:pos="9344"/>
      </w:tabs>
      <w:spacing w:line="300" w:lineRule="exact"/>
      <w:ind w:left="629"/>
    </w:pPr>
    <w:rPr>
      <w:rFonts w:ascii="宋体"/>
    </w:rPr>
  </w:style>
  <w:style w:type="paragraph" w:styleId="23">
    <w:name w:val="footnote text"/>
    <w:basedOn w:val="1"/>
    <w:next w:val="1"/>
    <w:link w:val="104"/>
    <w:semiHidden/>
    <w:qFormat/>
    <w:uiPriority w:val="0"/>
    <w:pPr>
      <w:adjustRightInd/>
      <w:snapToGrid w:val="0"/>
      <w:spacing w:line="300" w:lineRule="exact"/>
      <w:ind w:left="400" w:leftChars="200" w:hanging="200" w:hangingChars="200"/>
      <w:jc w:val="left"/>
    </w:pPr>
    <w:rPr>
      <w:rFonts w:ascii="宋体"/>
      <w:sz w:val="18"/>
      <w:szCs w:val="18"/>
    </w:rPr>
  </w:style>
  <w:style w:type="paragraph" w:styleId="24">
    <w:name w:val="toc 6"/>
    <w:basedOn w:val="1"/>
    <w:next w:val="1"/>
    <w:autoRedefine/>
    <w:unhideWhenUsed/>
    <w:qFormat/>
    <w:uiPriority w:val="39"/>
    <w:pPr>
      <w:spacing w:line="300" w:lineRule="exact"/>
      <w:ind w:left="1049"/>
    </w:pPr>
    <w:rPr>
      <w:rFonts w:ascii="宋体"/>
    </w:rPr>
  </w:style>
  <w:style w:type="paragraph" w:styleId="25">
    <w:name w:val="table of figures"/>
    <w:basedOn w:val="1"/>
    <w:next w:val="1"/>
    <w:semiHidden/>
    <w:qFormat/>
    <w:uiPriority w:val="0"/>
    <w:pPr>
      <w:adjustRightInd/>
      <w:spacing w:line="240" w:lineRule="auto"/>
      <w:jc w:val="left"/>
    </w:pPr>
    <w:rPr>
      <w:szCs w:val="24"/>
    </w:rPr>
  </w:style>
  <w:style w:type="paragraph" w:styleId="26">
    <w:name w:val="toc 2"/>
    <w:basedOn w:val="1"/>
    <w:next w:val="1"/>
    <w:autoRedefine/>
    <w:unhideWhenUsed/>
    <w:qFormat/>
    <w:uiPriority w:val="39"/>
    <w:pPr>
      <w:tabs>
        <w:tab w:val="right" w:leader="dot" w:pos="9344"/>
      </w:tabs>
      <w:spacing w:line="300" w:lineRule="exact"/>
      <w:ind w:left="210"/>
    </w:pPr>
    <w:rPr>
      <w:rFonts w:ascii="宋体"/>
    </w:rPr>
  </w:style>
  <w:style w:type="paragraph" w:styleId="27">
    <w:name w:val="Normal (Web)"/>
    <w:basedOn w:val="1"/>
    <w:qFormat/>
    <w:uiPriority w:val="0"/>
    <w:pPr>
      <w:spacing w:before="0" w:beforeAutospacing="1" w:after="0" w:afterAutospacing="1"/>
      <w:ind w:left="0" w:right="0"/>
      <w:jc w:val="left"/>
    </w:pPr>
    <w:rPr>
      <w:kern w:val="0"/>
      <w:sz w:val="24"/>
      <w:lang w:val="en-US" w:eastAsia="zh-CN" w:bidi="ar"/>
    </w:rPr>
  </w:style>
  <w:style w:type="paragraph" w:styleId="28">
    <w:name w:val="Title"/>
    <w:basedOn w:val="1"/>
    <w:link w:val="53"/>
    <w:qFormat/>
    <w:uiPriority w:val="0"/>
    <w:pPr>
      <w:spacing w:before="240" w:after="60"/>
      <w:jc w:val="center"/>
      <w:outlineLvl w:val="0"/>
    </w:pPr>
    <w:rPr>
      <w:rFonts w:ascii="Arial" w:hAnsi="Arial" w:cs="Arial"/>
      <w:b/>
      <w:bCs/>
      <w:sz w:val="32"/>
      <w:szCs w:val="32"/>
    </w:rPr>
  </w:style>
  <w:style w:type="paragraph" w:styleId="29">
    <w:name w:val="annotation subject"/>
    <w:basedOn w:val="13"/>
    <w:next w:val="13"/>
    <w:link w:val="239"/>
    <w:semiHidden/>
    <w:unhideWhenUsed/>
    <w:qFormat/>
    <w:uiPriority w:val="99"/>
    <w:rPr>
      <w:b/>
      <w:bCs/>
    </w:rPr>
  </w:style>
  <w:style w:type="table" w:styleId="31">
    <w:name w:val="Table Grid"/>
    <w:basedOn w:val="30"/>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3">
    <w:name w:val="Strong"/>
    <w:basedOn w:val="32"/>
    <w:qFormat/>
    <w:uiPriority w:val="22"/>
    <w:rPr>
      <w:b/>
      <w:bCs/>
    </w:rPr>
  </w:style>
  <w:style w:type="character" w:styleId="34">
    <w:name w:val="page number"/>
    <w:qFormat/>
    <w:uiPriority w:val="0"/>
    <w:rPr>
      <w:rFonts w:ascii="宋体" w:hAnsi="Times New Roman" w:eastAsia="宋体"/>
      <w:sz w:val="18"/>
    </w:rPr>
  </w:style>
  <w:style w:type="character" w:styleId="35">
    <w:name w:val="Emphasis"/>
    <w:qFormat/>
    <w:uiPriority w:val="20"/>
    <w:rPr>
      <w:i/>
      <w:iCs/>
    </w:rPr>
  </w:style>
  <w:style w:type="character" w:styleId="36">
    <w:name w:val="Hyperlink"/>
    <w:basedOn w:val="32"/>
    <w:qFormat/>
    <w:uiPriority w:val="99"/>
    <w:rPr>
      <w:rFonts w:ascii="宋体" w:hAnsi="Times New Roman" w:eastAsia="宋体"/>
      <w:color w:val="auto"/>
      <w:spacing w:val="0"/>
      <w:w w:val="100"/>
      <w:position w:val="0"/>
      <w:sz w:val="21"/>
      <w:u w:val="none"/>
      <w:vertAlign w:val="baseline"/>
    </w:rPr>
  </w:style>
  <w:style w:type="character" w:styleId="37">
    <w:name w:val="annotation reference"/>
    <w:basedOn w:val="32"/>
    <w:semiHidden/>
    <w:unhideWhenUsed/>
    <w:qFormat/>
    <w:uiPriority w:val="99"/>
    <w:rPr>
      <w:sz w:val="21"/>
      <w:szCs w:val="21"/>
    </w:rPr>
  </w:style>
  <w:style w:type="character" w:styleId="38">
    <w:name w:val="footnote reference"/>
    <w:semiHidden/>
    <w:qFormat/>
    <w:uiPriority w:val="0"/>
    <w:rPr>
      <w:rFonts w:ascii="宋体" w:hAnsi="宋体" w:eastAsia="宋体" w:cs="Times New Roman"/>
      <w:spacing w:val="0"/>
      <w:sz w:val="18"/>
      <w:vertAlign w:val="superscript"/>
    </w:rPr>
  </w:style>
  <w:style w:type="character" w:customStyle="1" w:styleId="39">
    <w:name w:val="标题 1 Char"/>
    <w:link w:val="2"/>
    <w:qFormat/>
    <w:uiPriority w:val="0"/>
    <w:rPr>
      <w:b/>
      <w:bCs/>
      <w:kern w:val="44"/>
      <w:sz w:val="44"/>
      <w:szCs w:val="44"/>
    </w:rPr>
  </w:style>
  <w:style w:type="character" w:customStyle="1" w:styleId="40">
    <w:name w:val="标题 2 Char"/>
    <w:link w:val="3"/>
    <w:qFormat/>
    <w:uiPriority w:val="0"/>
    <w:rPr>
      <w:rFonts w:ascii="Arial" w:hAnsi="Arial" w:eastAsia="黑体"/>
      <w:b/>
      <w:bCs/>
      <w:kern w:val="2"/>
      <w:sz w:val="32"/>
      <w:szCs w:val="32"/>
    </w:rPr>
  </w:style>
  <w:style w:type="character" w:customStyle="1" w:styleId="41">
    <w:name w:val="标题 3 Char"/>
    <w:link w:val="4"/>
    <w:qFormat/>
    <w:uiPriority w:val="0"/>
    <w:rPr>
      <w:b/>
      <w:bCs/>
      <w:kern w:val="2"/>
      <w:sz w:val="32"/>
      <w:szCs w:val="32"/>
    </w:rPr>
  </w:style>
  <w:style w:type="character" w:customStyle="1" w:styleId="42">
    <w:name w:val="标题 4 Char"/>
    <w:link w:val="5"/>
    <w:qFormat/>
    <w:uiPriority w:val="0"/>
    <w:rPr>
      <w:rFonts w:ascii="Arial" w:hAnsi="Arial" w:eastAsia="黑体"/>
      <w:b/>
      <w:bCs/>
      <w:kern w:val="2"/>
      <w:sz w:val="28"/>
      <w:szCs w:val="28"/>
    </w:rPr>
  </w:style>
  <w:style w:type="character" w:customStyle="1" w:styleId="43">
    <w:name w:val="标题 5 Char"/>
    <w:link w:val="6"/>
    <w:qFormat/>
    <w:uiPriority w:val="0"/>
    <w:rPr>
      <w:b/>
      <w:bCs/>
      <w:kern w:val="2"/>
      <w:sz w:val="28"/>
      <w:szCs w:val="28"/>
    </w:rPr>
  </w:style>
  <w:style w:type="character" w:customStyle="1" w:styleId="44">
    <w:name w:val="标题 6 Char"/>
    <w:link w:val="7"/>
    <w:qFormat/>
    <w:uiPriority w:val="0"/>
    <w:rPr>
      <w:rFonts w:ascii="Arial" w:hAnsi="Arial" w:eastAsia="黑体"/>
      <w:b/>
      <w:bCs/>
      <w:kern w:val="2"/>
      <w:sz w:val="24"/>
      <w:szCs w:val="24"/>
    </w:rPr>
  </w:style>
  <w:style w:type="character" w:customStyle="1" w:styleId="45">
    <w:name w:val="标题 7 Char"/>
    <w:link w:val="8"/>
    <w:qFormat/>
    <w:uiPriority w:val="0"/>
    <w:rPr>
      <w:b/>
      <w:bCs/>
      <w:kern w:val="2"/>
      <w:sz w:val="24"/>
      <w:szCs w:val="24"/>
    </w:rPr>
  </w:style>
  <w:style w:type="character" w:customStyle="1" w:styleId="46">
    <w:name w:val="标题 8 Char"/>
    <w:link w:val="9"/>
    <w:qFormat/>
    <w:uiPriority w:val="0"/>
    <w:rPr>
      <w:rFonts w:ascii="Arial" w:hAnsi="Arial" w:eastAsia="黑体"/>
      <w:kern w:val="2"/>
      <w:sz w:val="24"/>
      <w:szCs w:val="24"/>
    </w:rPr>
  </w:style>
  <w:style w:type="character" w:customStyle="1" w:styleId="47">
    <w:name w:val="标题 9 Char"/>
    <w:link w:val="10"/>
    <w:qFormat/>
    <w:uiPriority w:val="0"/>
    <w:rPr>
      <w:rFonts w:ascii="Arial" w:hAnsi="Arial" w:eastAsia="黑体"/>
      <w:kern w:val="2"/>
      <w:sz w:val="21"/>
      <w:szCs w:val="21"/>
    </w:rPr>
  </w:style>
  <w:style w:type="character" w:customStyle="1" w:styleId="48">
    <w:name w:val="页眉 Char"/>
    <w:link w:val="20"/>
    <w:qFormat/>
    <w:uiPriority w:val="99"/>
    <w:rPr>
      <w:kern w:val="2"/>
      <w:sz w:val="18"/>
      <w:szCs w:val="18"/>
    </w:rPr>
  </w:style>
  <w:style w:type="character" w:customStyle="1" w:styleId="49">
    <w:name w:val="页脚 Char"/>
    <w:link w:val="19"/>
    <w:qFormat/>
    <w:uiPriority w:val="99"/>
    <w:rPr>
      <w:rFonts w:ascii="宋体"/>
      <w:kern w:val="2"/>
      <w:sz w:val="18"/>
      <w:szCs w:val="18"/>
    </w:rPr>
  </w:style>
  <w:style w:type="character" w:customStyle="1" w:styleId="50">
    <w:name w:val="批注框文本 Char"/>
    <w:link w:val="18"/>
    <w:semiHidden/>
    <w:qFormat/>
    <w:uiPriority w:val="99"/>
    <w:rPr>
      <w:kern w:val="2"/>
      <w:sz w:val="18"/>
      <w:szCs w:val="18"/>
    </w:rPr>
  </w:style>
  <w:style w:type="paragraph" w:styleId="51">
    <w:name w:val="Quote"/>
    <w:basedOn w:val="1"/>
    <w:next w:val="1"/>
    <w:link w:val="52"/>
    <w:qFormat/>
    <w:uiPriority w:val="29"/>
    <w:rPr>
      <w:i/>
      <w:iCs/>
      <w:color w:val="000000"/>
    </w:rPr>
  </w:style>
  <w:style w:type="character" w:customStyle="1" w:styleId="52">
    <w:name w:val="引用 Char"/>
    <w:link w:val="51"/>
    <w:qFormat/>
    <w:uiPriority w:val="29"/>
    <w:rPr>
      <w:i/>
      <w:iCs/>
      <w:color w:val="000000"/>
      <w:kern w:val="2"/>
      <w:sz w:val="21"/>
      <w:szCs w:val="21"/>
    </w:rPr>
  </w:style>
  <w:style w:type="character" w:customStyle="1" w:styleId="53">
    <w:name w:val="标题 Char"/>
    <w:link w:val="28"/>
    <w:qFormat/>
    <w:uiPriority w:val="0"/>
    <w:rPr>
      <w:rFonts w:ascii="Arial" w:hAnsi="Arial" w:cs="Arial"/>
      <w:b/>
      <w:bCs/>
      <w:kern w:val="2"/>
      <w:sz w:val="32"/>
      <w:szCs w:val="32"/>
    </w:rPr>
  </w:style>
  <w:style w:type="paragraph" w:customStyle="1" w:styleId="54">
    <w:name w:val="标准标志"/>
    <w:next w:val="1"/>
    <w:qFormat/>
    <w:uiPriority w:val="0"/>
    <w:pPr>
      <w:framePr w:w="2268" w:h="1392" w:hRule="exact" w:wrap="around" w:vAnchor="margin" w:hAnchor="margin" w:x="6748" w:y="171" w:anchorLock="1"/>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55">
    <w:name w:val="标准称谓"/>
    <w:next w:val="1"/>
    <w:qFormat/>
    <w:uiPriority w:val="0"/>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Times New Roman" w:eastAsia="宋体" w:cs="Times New Roman"/>
      <w:b/>
      <w:bCs/>
      <w:w w:val="148"/>
      <w:sz w:val="52"/>
      <w:lang w:val="en-US" w:eastAsia="zh-CN" w:bidi="ar-SA"/>
    </w:rPr>
  </w:style>
  <w:style w:type="paragraph" w:customStyle="1" w:styleId="56">
    <w:name w:val="标准文件_页脚偶数页"/>
    <w:qFormat/>
    <w:uiPriority w:val="0"/>
    <w:pPr>
      <w:ind w:left="198"/>
    </w:pPr>
    <w:rPr>
      <w:rFonts w:ascii="宋体" w:hAnsi="Times New Roman" w:eastAsia="宋体" w:cs="Times New Roman"/>
      <w:sz w:val="18"/>
      <w:lang w:val="en-US" w:eastAsia="zh-CN" w:bidi="ar-SA"/>
    </w:rPr>
  </w:style>
  <w:style w:type="paragraph" w:customStyle="1" w:styleId="57">
    <w:name w:val="标准文件_页脚奇数页"/>
    <w:qFormat/>
    <w:uiPriority w:val="0"/>
    <w:pPr>
      <w:ind w:right="227"/>
      <w:jc w:val="right"/>
    </w:pPr>
    <w:rPr>
      <w:rFonts w:ascii="宋体" w:hAnsi="Times New Roman" w:eastAsia="宋体" w:cs="Times New Roman"/>
      <w:sz w:val="18"/>
      <w:lang w:val="en-US" w:eastAsia="zh-CN" w:bidi="ar-SA"/>
    </w:rPr>
  </w:style>
  <w:style w:type="paragraph" w:customStyle="1" w:styleId="58">
    <w:name w:val="标准书眉一"/>
    <w:qFormat/>
    <w:uiPriority w:val="0"/>
    <w:pPr>
      <w:jc w:val="both"/>
    </w:pPr>
    <w:rPr>
      <w:rFonts w:ascii="Times New Roman" w:hAnsi="Times New Roman" w:eastAsia="宋体" w:cs="Times New Roman"/>
      <w:lang w:val="en-US" w:eastAsia="zh-CN" w:bidi="ar-SA"/>
    </w:rPr>
  </w:style>
  <w:style w:type="paragraph" w:customStyle="1" w:styleId="59">
    <w:name w:val="标准文件_ICS"/>
    <w:basedOn w:val="1"/>
    <w:qFormat/>
    <w:uiPriority w:val="0"/>
    <w:pPr>
      <w:spacing w:line="0" w:lineRule="atLeast"/>
    </w:pPr>
    <w:rPr>
      <w:rFonts w:ascii="黑体" w:hAnsi="宋体" w:eastAsia="黑体"/>
    </w:rPr>
  </w:style>
  <w:style w:type="paragraph" w:customStyle="1" w:styleId="60">
    <w:name w:val="标准文件_标准正文"/>
    <w:basedOn w:val="1"/>
    <w:next w:val="61"/>
    <w:qFormat/>
    <w:uiPriority w:val="0"/>
    <w:pPr>
      <w:snapToGrid w:val="0"/>
      <w:ind w:firstLine="200" w:firstLineChars="200"/>
    </w:pPr>
    <w:rPr>
      <w:kern w:val="0"/>
    </w:rPr>
  </w:style>
  <w:style w:type="paragraph" w:customStyle="1" w:styleId="61">
    <w:name w:val="标准文件_段"/>
    <w:link w:val="189"/>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62">
    <w:name w:val="标准文件_版本"/>
    <w:basedOn w:val="60"/>
    <w:qFormat/>
    <w:uiPriority w:val="0"/>
    <w:pPr>
      <w:adjustRightInd/>
      <w:snapToGrid/>
      <w:ind w:firstLine="0" w:firstLineChars="0"/>
    </w:pPr>
    <w:rPr>
      <w:rFonts w:ascii="宋体" w:hAnsi="宋体"/>
      <w:kern w:val="2"/>
    </w:rPr>
  </w:style>
  <w:style w:type="paragraph" w:customStyle="1" w:styleId="63">
    <w:name w:val="标准文件_标准部门"/>
    <w:basedOn w:val="1"/>
    <w:qFormat/>
    <w:uiPriority w:val="0"/>
    <w:pPr>
      <w:jc w:val="center"/>
    </w:pPr>
    <w:rPr>
      <w:rFonts w:ascii="黑体" w:eastAsia="黑体"/>
      <w:kern w:val="0"/>
      <w:sz w:val="44"/>
    </w:rPr>
  </w:style>
  <w:style w:type="paragraph" w:customStyle="1" w:styleId="64">
    <w:name w:val="标准文件_标准代替"/>
    <w:basedOn w:val="1"/>
    <w:next w:val="1"/>
    <w:qFormat/>
    <w:uiPriority w:val="0"/>
    <w:pPr>
      <w:spacing w:line="310" w:lineRule="exact"/>
      <w:jc w:val="right"/>
    </w:pPr>
    <w:rPr>
      <w:rFonts w:ascii="宋体" w:hAnsi="宋体"/>
      <w:kern w:val="0"/>
    </w:rPr>
  </w:style>
  <w:style w:type="paragraph" w:customStyle="1" w:styleId="65">
    <w:name w:val="标准文件_标准名称标题"/>
    <w:basedOn w:val="1"/>
    <w:next w:val="1"/>
    <w:qFormat/>
    <w:uiPriority w:val="0"/>
    <w:pPr>
      <w:widowControl/>
      <w:shd w:val="clear" w:color="FFFFFF" w:fill="FFFFFF"/>
      <w:adjustRightInd/>
      <w:spacing w:before="640" w:after="100"/>
      <w:jc w:val="center"/>
    </w:pPr>
    <w:rPr>
      <w:rFonts w:ascii="黑体" w:eastAsia="黑体"/>
      <w:kern w:val="0"/>
      <w:sz w:val="32"/>
    </w:rPr>
  </w:style>
  <w:style w:type="paragraph" w:customStyle="1" w:styleId="66">
    <w:name w:val="标准文件_页眉奇数页"/>
    <w:next w:val="1"/>
    <w:qFormat/>
    <w:uiPriority w:val="0"/>
    <w:pPr>
      <w:tabs>
        <w:tab w:val="center" w:pos="4154"/>
        <w:tab w:val="right" w:pos="8306"/>
      </w:tabs>
      <w:spacing w:after="120"/>
      <w:jc w:val="right"/>
    </w:pPr>
    <w:rPr>
      <w:rFonts w:ascii="黑体" w:hAnsi="宋体" w:eastAsia="黑体" w:cs="Times New Roman"/>
      <w:sz w:val="21"/>
      <w:lang w:val="en-US" w:eastAsia="zh-CN" w:bidi="ar-SA"/>
    </w:rPr>
  </w:style>
  <w:style w:type="paragraph" w:customStyle="1" w:styleId="67">
    <w:name w:val="标准文件_页眉偶数页"/>
    <w:basedOn w:val="66"/>
    <w:next w:val="1"/>
    <w:qFormat/>
    <w:uiPriority w:val="0"/>
    <w:pPr>
      <w:jc w:val="left"/>
    </w:pPr>
  </w:style>
  <w:style w:type="paragraph" w:customStyle="1" w:styleId="68">
    <w:name w:val="标准文件_参考文献标题"/>
    <w:basedOn w:val="1"/>
    <w:next w:val="1"/>
    <w:qFormat/>
    <w:uiPriority w:val="0"/>
    <w:pPr>
      <w:widowControl/>
      <w:shd w:val="clear" w:color="FFFFFF" w:fill="FFFFFF"/>
      <w:adjustRightInd/>
      <w:spacing w:before="560" w:after="50" w:afterLines="50" w:line="240" w:lineRule="auto"/>
      <w:jc w:val="center"/>
      <w:outlineLvl w:val="0"/>
    </w:pPr>
    <w:rPr>
      <w:rFonts w:ascii="黑体" w:eastAsia="黑体"/>
      <w:kern w:val="0"/>
    </w:rPr>
  </w:style>
  <w:style w:type="paragraph" w:customStyle="1" w:styleId="69">
    <w:name w:val="标准文件_参考文献条目"/>
    <w:qFormat/>
    <w:uiPriority w:val="0"/>
    <w:pPr>
      <w:numPr>
        <w:ilvl w:val="0"/>
        <w:numId w:val="1"/>
      </w:numPr>
    </w:pPr>
    <w:rPr>
      <w:rFonts w:ascii="宋体" w:hAnsi="Times New Roman" w:eastAsia="宋体" w:cs="Times New Roman"/>
      <w:lang w:val="en-US" w:eastAsia="zh-CN" w:bidi="ar-SA"/>
    </w:rPr>
  </w:style>
  <w:style w:type="paragraph" w:customStyle="1" w:styleId="70">
    <w:name w:val="标准文件_二级条标题"/>
    <w:next w:val="61"/>
    <w:qFormat/>
    <w:uiPriority w:val="0"/>
    <w:pPr>
      <w:widowControl w:val="0"/>
      <w:numPr>
        <w:ilvl w:val="3"/>
        <w:numId w:val="2"/>
      </w:numPr>
      <w:spacing w:before="50" w:beforeLines="50" w:after="50" w:afterLines="50"/>
      <w:jc w:val="both"/>
      <w:outlineLvl w:val="2"/>
    </w:pPr>
    <w:rPr>
      <w:rFonts w:ascii="黑体" w:hAnsi="Times New Roman" w:eastAsia="黑体" w:cs="Times New Roman"/>
      <w:sz w:val="21"/>
      <w:lang w:val="en-US" w:eastAsia="zh-CN" w:bidi="ar-SA"/>
    </w:rPr>
  </w:style>
  <w:style w:type="character" w:customStyle="1" w:styleId="71">
    <w:name w:val="标准文件_发布"/>
    <w:qFormat/>
    <w:uiPriority w:val="0"/>
    <w:rPr>
      <w:rFonts w:ascii="黑体" w:eastAsia="黑体"/>
      <w:spacing w:val="0"/>
      <w:w w:val="100"/>
      <w:position w:val="3"/>
      <w:sz w:val="28"/>
    </w:rPr>
  </w:style>
  <w:style w:type="paragraph" w:customStyle="1" w:styleId="72">
    <w:name w:val="标准文件_方框数字列项"/>
    <w:basedOn w:val="61"/>
    <w:qFormat/>
    <w:uiPriority w:val="0"/>
    <w:pPr>
      <w:numPr>
        <w:ilvl w:val="0"/>
        <w:numId w:val="3"/>
      </w:numPr>
      <w:ind w:firstLine="0" w:firstLineChars="0"/>
    </w:pPr>
  </w:style>
  <w:style w:type="paragraph" w:customStyle="1" w:styleId="73">
    <w:name w:val="标准文件_封面标准编号"/>
    <w:basedOn w:val="1"/>
    <w:next w:val="64"/>
    <w:qFormat/>
    <w:uiPriority w:val="0"/>
    <w:pPr>
      <w:spacing w:line="310" w:lineRule="exact"/>
      <w:jc w:val="right"/>
    </w:pPr>
    <w:rPr>
      <w:rFonts w:ascii="黑体" w:eastAsia="黑体"/>
      <w:kern w:val="0"/>
      <w:sz w:val="28"/>
    </w:rPr>
  </w:style>
  <w:style w:type="paragraph" w:customStyle="1" w:styleId="74">
    <w:name w:val="标准文件_封面标准分类号"/>
    <w:basedOn w:val="1"/>
    <w:qFormat/>
    <w:uiPriority w:val="0"/>
    <w:rPr>
      <w:rFonts w:ascii="黑体" w:eastAsia="黑体"/>
      <w:b/>
      <w:kern w:val="0"/>
      <w:sz w:val="28"/>
    </w:rPr>
  </w:style>
  <w:style w:type="paragraph" w:customStyle="1" w:styleId="75">
    <w:name w:val="标准文件_封面标准名称"/>
    <w:basedOn w:val="1"/>
    <w:qFormat/>
    <w:uiPriority w:val="0"/>
    <w:pPr>
      <w:spacing w:line="240" w:lineRule="auto"/>
      <w:jc w:val="center"/>
    </w:pPr>
    <w:rPr>
      <w:rFonts w:ascii="黑体" w:eastAsia="黑体"/>
      <w:kern w:val="0"/>
      <w:sz w:val="52"/>
    </w:rPr>
  </w:style>
  <w:style w:type="paragraph" w:customStyle="1" w:styleId="76">
    <w:name w:val="标准文件_封面标准英文名称"/>
    <w:basedOn w:val="1"/>
    <w:qFormat/>
    <w:uiPriority w:val="0"/>
    <w:pPr>
      <w:spacing w:line="240" w:lineRule="auto"/>
      <w:jc w:val="center"/>
    </w:pPr>
    <w:rPr>
      <w:rFonts w:ascii="黑体" w:eastAsia="黑体"/>
      <w:b/>
      <w:sz w:val="28"/>
    </w:rPr>
  </w:style>
  <w:style w:type="paragraph" w:customStyle="1" w:styleId="77">
    <w:name w:val="标准文件_封面发布日期"/>
    <w:basedOn w:val="1"/>
    <w:qFormat/>
    <w:uiPriority w:val="0"/>
    <w:pPr>
      <w:spacing w:line="310" w:lineRule="exact"/>
    </w:pPr>
    <w:rPr>
      <w:rFonts w:ascii="黑体" w:eastAsia="黑体"/>
      <w:kern w:val="0"/>
      <w:sz w:val="28"/>
    </w:rPr>
  </w:style>
  <w:style w:type="paragraph" w:customStyle="1" w:styleId="78">
    <w:name w:val="标准文件_封面密级"/>
    <w:basedOn w:val="1"/>
    <w:qFormat/>
    <w:uiPriority w:val="0"/>
    <w:rPr>
      <w:rFonts w:eastAsia="黑体"/>
      <w:sz w:val="32"/>
    </w:rPr>
  </w:style>
  <w:style w:type="paragraph" w:customStyle="1" w:styleId="79">
    <w:name w:val="标准文件_封面实施日期"/>
    <w:basedOn w:val="1"/>
    <w:qFormat/>
    <w:uiPriority w:val="0"/>
    <w:pPr>
      <w:spacing w:line="310" w:lineRule="exact"/>
      <w:jc w:val="right"/>
    </w:pPr>
    <w:rPr>
      <w:rFonts w:ascii="黑体" w:eastAsia="黑体"/>
      <w:sz w:val="28"/>
    </w:rPr>
  </w:style>
  <w:style w:type="paragraph" w:customStyle="1" w:styleId="80">
    <w:name w:val="标准文件_封面抬头"/>
    <w:basedOn w:val="61"/>
    <w:qFormat/>
    <w:uiPriority w:val="0"/>
    <w:pPr>
      <w:adjustRightInd w:val="0"/>
      <w:spacing w:line="800" w:lineRule="exact"/>
      <w:ind w:firstLine="0" w:firstLineChars="0"/>
      <w:jc w:val="distribute"/>
    </w:pPr>
    <w:rPr>
      <w:rFonts w:ascii="黑体" w:eastAsia="黑体"/>
      <w:b/>
      <w:sz w:val="64"/>
    </w:rPr>
  </w:style>
  <w:style w:type="paragraph" w:customStyle="1" w:styleId="81">
    <w:name w:val="标准文件_附录标识"/>
    <w:next w:val="61"/>
    <w:qFormat/>
    <w:uiPriority w:val="0"/>
    <w:pPr>
      <w:numPr>
        <w:ilvl w:val="0"/>
        <w:numId w:val="4"/>
      </w:numPr>
      <w:shd w:val="clear" w:color="FFFFFF" w:fill="FFFFFF"/>
      <w:tabs>
        <w:tab w:val="left" w:pos="6406"/>
      </w:tabs>
      <w:spacing w:before="560" w:after="50" w:afterLines="50"/>
      <w:jc w:val="center"/>
      <w:outlineLvl w:val="0"/>
    </w:pPr>
    <w:rPr>
      <w:rFonts w:ascii="黑体" w:hAnsi="Times New Roman" w:eastAsia="黑体" w:cs="Times New Roman"/>
      <w:sz w:val="21"/>
      <w:lang w:val="en-US" w:eastAsia="zh-CN" w:bidi="ar-SA"/>
    </w:rPr>
  </w:style>
  <w:style w:type="paragraph" w:customStyle="1" w:styleId="82">
    <w:name w:val="标准文件_附录表标题"/>
    <w:next w:val="61"/>
    <w:qFormat/>
    <w:uiPriority w:val="0"/>
    <w:pPr>
      <w:numPr>
        <w:ilvl w:val="1"/>
        <w:numId w:val="5"/>
      </w:numPr>
      <w:adjustRightInd w:val="0"/>
      <w:snapToGrid w:val="0"/>
      <w:spacing w:before="50" w:beforeLines="50" w:after="50" w:afterLines="50"/>
      <w:jc w:val="center"/>
      <w:textAlignment w:val="baseline"/>
    </w:pPr>
    <w:rPr>
      <w:rFonts w:ascii="黑体" w:hAnsi="Times New Roman" w:eastAsia="黑体" w:cs="Times New Roman"/>
      <w:kern w:val="21"/>
      <w:sz w:val="21"/>
      <w:lang w:val="en-US" w:eastAsia="zh-CN" w:bidi="ar-SA"/>
    </w:rPr>
  </w:style>
  <w:style w:type="paragraph" w:customStyle="1" w:styleId="83">
    <w:name w:val="标准文件_附录一级条标题"/>
    <w:next w:val="61"/>
    <w:qFormat/>
    <w:uiPriority w:val="0"/>
    <w:pPr>
      <w:widowControl w:val="0"/>
      <w:numPr>
        <w:ilvl w:val="1"/>
        <w:numId w:val="4"/>
      </w:numPr>
      <w:spacing w:before="50" w:beforeLines="50" w:after="50" w:afterLines="50"/>
      <w:jc w:val="both"/>
      <w:outlineLvl w:val="2"/>
    </w:pPr>
    <w:rPr>
      <w:rFonts w:ascii="黑体" w:hAnsi="Times New Roman" w:eastAsia="黑体" w:cs="Times New Roman"/>
      <w:kern w:val="21"/>
      <w:sz w:val="21"/>
      <w:lang w:val="en-US" w:eastAsia="zh-CN" w:bidi="ar-SA"/>
    </w:rPr>
  </w:style>
  <w:style w:type="paragraph" w:customStyle="1" w:styleId="84">
    <w:name w:val="标准文件_附录二级条标题"/>
    <w:basedOn w:val="83"/>
    <w:next w:val="61"/>
    <w:qFormat/>
    <w:uiPriority w:val="0"/>
    <w:pPr>
      <w:widowControl/>
      <w:numPr>
        <w:ilvl w:val="2"/>
      </w:numPr>
      <w:wordWrap w:val="0"/>
      <w:overflowPunct w:val="0"/>
      <w:autoSpaceDE w:val="0"/>
      <w:autoSpaceDN w:val="0"/>
      <w:textAlignment w:val="baseline"/>
      <w:outlineLvl w:val="3"/>
    </w:pPr>
  </w:style>
  <w:style w:type="paragraph" w:customStyle="1" w:styleId="85">
    <w:name w:val="标准文件_附录公式"/>
    <w:basedOn w:val="60"/>
    <w:next w:val="60"/>
    <w:qFormat/>
    <w:uiPriority w:val="0"/>
    <w:pPr>
      <w:tabs>
        <w:tab w:val="center" w:pos="4678"/>
        <w:tab w:val="right" w:leader="middleDot" w:pos="9356"/>
      </w:tabs>
      <w:spacing w:line="240" w:lineRule="auto"/>
      <w:ind w:right="-51" w:firstLine="0" w:firstLineChars="0"/>
    </w:pPr>
    <w:rPr>
      <w:rFonts w:ascii="宋体" w:hAnsi="宋体"/>
    </w:rPr>
  </w:style>
  <w:style w:type="paragraph" w:customStyle="1" w:styleId="86">
    <w:name w:val="标准文件_附录三级条标题"/>
    <w:next w:val="61"/>
    <w:qFormat/>
    <w:uiPriority w:val="0"/>
    <w:pPr>
      <w:widowControl w:val="0"/>
      <w:numPr>
        <w:ilvl w:val="3"/>
        <w:numId w:val="4"/>
      </w:numPr>
      <w:spacing w:before="50" w:beforeLines="50" w:after="50" w:afterLines="50"/>
      <w:jc w:val="both"/>
      <w:outlineLvl w:val="4"/>
    </w:pPr>
    <w:rPr>
      <w:rFonts w:ascii="黑体" w:hAnsi="Times New Roman" w:eastAsia="黑体" w:cs="Times New Roman"/>
      <w:kern w:val="21"/>
      <w:sz w:val="21"/>
      <w:lang w:val="en-US" w:eastAsia="zh-CN" w:bidi="ar-SA"/>
    </w:rPr>
  </w:style>
  <w:style w:type="paragraph" w:customStyle="1" w:styleId="87">
    <w:name w:val="标准文件_附录四级条标题"/>
    <w:next w:val="61"/>
    <w:qFormat/>
    <w:uiPriority w:val="0"/>
    <w:pPr>
      <w:widowControl w:val="0"/>
      <w:numPr>
        <w:ilvl w:val="4"/>
        <w:numId w:val="4"/>
      </w:numPr>
      <w:spacing w:before="50" w:beforeLines="50" w:after="50" w:afterLines="50"/>
      <w:jc w:val="both"/>
      <w:outlineLvl w:val="5"/>
    </w:pPr>
    <w:rPr>
      <w:rFonts w:ascii="黑体" w:hAnsi="Times New Roman" w:eastAsia="黑体" w:cs="Times New Roman"/>
      <w:kern w:val="21"/>
      <w:sz w:val="21"/>
      <w:lang w:val="en-US" w:eastAsia="zh-CN" w:bidi="ar-SA"/>
    </w:rPr>
  </w:style>
  <w:style w:type="paragraph" w:customStyle="1" w:styleId="88">
    <w:name w:val="标准文件_附录图标题"/>
    <w:next w:val="61"/>
    <w:qFormat/>
    <w:uiPriority w:val="0"/>
    <w:pPr>
      <w:numPr>
        <w:ilvl w:val="1"/>
        <w:numId w:val="6"/>
      </w:numPr>
      <w:adjustRightInd w:val="0"/>
      <w:snapToGrid w:val="0"/>
      <w:spacing w:before="50" w:beforeLines="50" w:after="50" w:afterLines="50"/>
      <w:jc w:val="center"/>
    </w:pPr>
    <w:rPr>
      <w:rFonts w:ascii="黑体" w:hAnsi="Times New Roman" w:eastAsia="黑体" w:cs="Times New Roman"/>
      <w:sz w:val="21"/>
      <w:lang w:val="en-US" w:eastAsia="zh-CN" w:bidi="ar-SA"/>
    </w:rPr>
  </w:style>
  <w:style w:type="paragraph" w:customStyle="1" w:styleId="89">
    <w:name w:val="标准文件_附录五级条标题"/>
    <w:next w:val="61"/>
    <w:qFormat/>
    <w:uiPriority w:val="0"/>
    <w:pPr>
      <w:widowControl w:val="0"/>
      <w:numPr>
        <w:ilvl w:val="5"/>
        <w:numId w:val="4"/>
      </w:numPr>
      <w:spacing w:before="50" w:beforeLines="50" w:after="50" w:afterLines="50"/>
      <w:jc w:val="both"/>
      <w:outlineLvl w:val="6"/>
    </w:pPr>
    <w:rPr>
      <w:rFonts w:ascii="黑体" w:hAnsi="Times New Roman" w:eastAsia="黑体" w:cs="Times New Roman"/>
      <w:kern w:val="21"/>
      <w:sz w:val="21"/>
      <w:lang w:val="en-US" w:eastAsia="zh-CN" w:bidi="ar-SA"/>
    </w:rPr>
  </w:style>
  <w:style w:type="paragraph" w:customStyle="1" w:styleId="90">
    <w:name w:val="标准文件_附录英文标识"/>
    <w:next w:val="14"/>
    <w:qFormat/>
    <w:uiPriority w:val="0"/>
    <w:pPr>
      <w:numPr>
        <w:ilvl w:val="0"/>
        <w:numId w:val="7"/>
      </w:numPr>
      <w:tabs>
        <w:tab w:val="left" w:pos="6406"/>
      </w:tabs>
      <w:spacing w:before="220" w:after="320"/>
      <w:jc w:val="center"/>
      <w:outlineLvl w:val="0"/>
    </w:pPr>
    <w:rPr>
      <w:rFonts w:ascii="黑体" w:hAnsi="Times New Roman" w:eastAsia="黑体" w:cs="Times New Roman"/>
      <w:sz w:val="21"/>
      <w:lang w:val="en-US" w:eastAsia="zh-CN" w:bidi="ar-SA"/>
    </w:rPr>
  </w:style>
  <w:style w:type="character" w:customStyle="1" w:styleId="91">
    <w:name w:val="正文文本 Char"/>
    <w:link w:val="14"/>
    <w:qFormat/>
    <w:uiPriority w:val="0"/>
    <w:rPr>
      <w:kern w:val="2"/>
      <w:sz w:val="21"/>
      <w:szCs w:val="21"/>
    </w:rPr>
  </w:style>
  <w:style w:type="paragraph" w:customStyle="1" w:styleId="92">
    <w:name w:val="标准文件_附录章标题"/>
    <w:next w:val="61"/>
    <w:qFormat/>
    <w:uiPriority w:val="0"/>
    <w:pPr>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93">
    <w:name w:val="标准文件_公式后的破折号"/>
    <w:basedOn w:val="61"/>
    <w:next w:val="61"/>
    <w:qFormat/>
    <w:uiPriority w:val="0"/>
    <w:pPr>
      <w:ind w:left="488" w:leftChars="200" w:hanging="289" w:hangingChars="290"/>
    </w:pPr>
  </w:style>
  <w:style w:type="paragraph" w:customStyle="1" w:styleId="94">
    <w:name w:val="标准文件_前言、引言标题"/>
    <w:next w:val="1"/>
    <w:qFormat/>
    <w:uiPriority w:val="0"/>
    <w:pPr>
      <w:numPr>
        <w:ilvl w:val="0"/>
        <w:numId w:val="8"/>
      </w:numPr>
      <w:shd w:val="clear" w:color="FFFFFF" w:fill="FFFFFF"/>
      <w:spacing w:before="480" w:after="150" w:afterLines="150"/>
      <w:jc w:val="center"/>
      <w:outlineLvl w:val="0"/>
    </w:pPr>
    <w:rPr>
      <w:rFonts w:ascii="黑体" w:hAnsi="Times New Roman" w:eastAsia="黑体" w:cs="Times New Roman"/>
      <w:sz w:val="32"/>
      <w:lang w:val="en-US" w:eastAsia="zh-CN" w:bidi="ar-SA"/>
    </w:rPr>
  </w:style>
  <w:style w:type="paragraph" w:customStyle="1" w:styleId="95">
    <w:name w:val="标准文件_目次、标准名称标题"/>
    <w:basedOn w:val="94"/>
    <w:next w:val="61"/>
    <w:qFormat/>
    <w:uiPriority w:val="0"/>
    <w:pPr>
      <w:spacing w:line="460" w:lineRule="exact"/>
      <w:ind w:left="0" w:firstLine="0"/>
    </w:pPr>
  </w:style>
  <w:style w:type="paragraph" w:customStyle="1" w:styleId="96">
    <w:name w:val="标准文件_目录标题"/>
    <w:basedOn w:val="1"/>
    <w:qFormat/>
    <w:uiPriority w:val="0"/>
    <w:pPr>
      <w:spacing w:before="480" w:after="150" w:afterLines="150" w:line="240" w:lineRule="auto"/>
      <w:jc w:val="center"/>
    </w:pPr>
    <w:rPr>
      <w:rFonts w:ascii="黑体" w:eastAsia="黑体"/>
      <w:sz w:val="32"/>
    </w:rPr>
  </w:style>
  <w:style w:type="paragraph" w:customStyle="1" w:styleId="97">
    <w:name w:val="标准文件_破折号列项"/>
    <w:qFormat/>
    <w:uiPriority w:val="0"/>
    <w:pPr>
      <w:numPr>
        <w:ilvl w:val="0"/>
        <w:numId w:val="9"/>
      </w:numPr>
      <w:adjustRightInd w:val="0"/>
      <w:snapToGrid w:val="0"/>
      <w:ind w:firstLine="200" w:firstLineChars="200"/>
    </w:pPr>
    <w:rPr>
      <w:rFonts w:ascii="Times New Roman" w:hAnsi="Times New Roman" w:eastAsia="宋体" w:cs="Times New Roman"/>
      <w:sz w:val="21"/>
      <w:lang w:val="en-US" w:eastAsia="zh-CN" w:bidi="ar-SA"/>
    </w:rPr>
  </w:style>
  <w:style w:type="paragraph" w:customStyle="1" w:styleId="98">
    <w:name w:val="标准文件_破折号列项（二级）"/>
    <w:basedOn w:val="97"/>
    <w:qFormat/>
    <w:uiPriority w:val="0"/>
    <w:pPr>
      <w:numPr>
        <w:numId w:val="10"/>
      </w:numPr>
    </w:pPr>
  </w:style>
  <w:style w:type="paragraph" w:customStyle="1" w:styleId="99">
    <w:name w:val="标准文件_三级条标题"/>
    <w:basedOn w:val="70"/>
    <w:next w:val="61"/>
    <w:qFormat/>
    <w:uiPriority w:val="0"/>
    <w:pPr>
      <w:widowControl/>
      <w:numPr>
        <w:ilvl w:val="4"/>
      </w:numPr>
      <w:outlineLvl w:val="3"/>
    </w:pPr>
  </w:style>
  <w:style w:type="character" w:customStyle="1" w:styleId="100">
    <w:name w:val="不明显参考1"/>
    <w:qFormat/>
    <w:uiPriority w:val="31"/>
    <w:rPr>
      <w:smallCaps/>
      <w:color w:val="C0504D"/>
      <w:u w:val="single"/>
    </w:rPr>
  </w:style>
  <w:style w:type="paragraph" w:customStyle="1" w:styleId="101">
    <w:name w:val="标准文件_示例后续"/>
    <w:basedOn w:val="1"/>
    <w:qFormat/>
    <w:uiPriority w:val="0"/>
    <w:pPr>
      <w:adjustRightInd/>
      <w:spacing w:line="240" w:lineRule="auto"/>
      <w:ind w:firstLine="200" w:firstLineChars="200"/>
    </w:pPr>
    <w:rPr>
      <w:sz w:val="18"/>
      <w:szCs w:val="24"/>
    </w:rPr>
  </w:style>
  <w:style w:type="paragraph" w:customStyle="1" w:styleId="102">
    <w:name w:val="标准文件_数字编号列项"/>
    <w:qFormat/>
    <w:uiPriority w:val="0"/>
    <w:pPr>
      <w:numPr>
        <w:ilvl w:val="0"/>
        <w:numId w:val="11"/>
      </w:numPr>
      <w:jc w:val="both"/>
    </w:pPr>
    <w:rPr>
      <w:rFonts w:ascii="宋体" w:hAnsi="宋体" w:eastAsia="宋体" w:cs="Times New Roman"/>
      <w:sz w:val="21"/>
      <w:lang w:val="en-US" w:eastAsia="zh-CN" w:bidi="ar-SA"/>
    </w:rPr>
  </w:style>
  <w:style w:type="paragraph" w:customStyle="1" w:styleId="103">
    <w:name w:val="标准文件_四级条标题"/>
    <w:next w:val="61"/>
    <w:qFormat/>
    <w:uiPriority w:val="0"/>
    <w:pPr>
      <w:widowControl w:val="0"/>
      <w:numPr>
        <w:ilvl w:val="5"/>
        <w:numId w:val="2"/>
      </w:numPr>
      <w:spacing w:before="50" w:beforeLines="50" w:after="50" w:afterLines="50"/>
      <w:jc w:val="both"/>
      <w:outlineLvl w:val="4"/>
    </w:pPr>
    <w:rPr>
      <w:rFonts w:ascii="黑体" w:hAnsi="Times New Roman" w:eastAsia="黑体" w:cs="Times New Roman"/>
      <w:sz w:val="21"/>
      <w:lang w:val="en-US" w:eastAsia="zh-CN" w:bidi="ar-SA"/>
    </w:rPr>
  </w:style>
  <w:style w:type="character" w:customStyle="1" w:styleId="104">
    <w:name w:val="脚注文本 Char"/>
    <w:link w:val="23"/>
    <w:semiHidden/>
    <w:qFormat/>
    <w:uiPriority w:val="0"/>
    <w:rPr>
      <w:rFonts w:ascii="宋体"/>
      <w:kern w:val="2"/>
      <w:sz w:val="18"/>
      <w:szCs w:val="18"/>
    </w:rPr>
  </w:style>
  <w:style w:type="paragraph" w:customStyle="1" w:styleId="105">
    <w:name w:val="标准文件_条文脚注"/>
    <w:basedOn w:val="23"/>
    <w:qFormat/>
    <w:uiPriority w:val="0"/>
    <w:pPr>
      <w:adjustRightInd w:val="0"/>
      <w:spacing w:line="240" w:lineRule="auto"/>
      <w:ind w:left="0" w:leftChars="0" w:firstLine="200" w:firstLineChars="200"/>
      <w:jc w:val="both"/>
    </w:pPr>
    <w:rPr>
      <w:rFonts w:hAnsi="宋体"/>
    </w:rPr>
  </w:style>
  <w:style w:type="paragraph" w:customStyle="1" w:styleId="106">
    <w:name w:val="标准文件_图表脚注"/>
    <w:basedOn w:val="1"/>
    <w:next w:val="61"/>
    <w:qFormat/>
    <w:uiPriority w:val="0"/>
    <w:pPr>
      <w:numPr>
        <w:ilvl w:val="0"/>
        <w:numId w:val="12"/>
      </w:numPr>
      <w:spacing w:line="240" w:lineRule="auto"/>
      <w:jc w:val="left"/>
    </w:pPr>
    <w:rPr>
      <w:rFonts w:ascii="宋体" w:hAnsi="宋体"/>
      <w:sz w:val="18"/>
    </w:rPr>
  </w:style>
  <w:style w:type="character" w:customStyle="1" w:styleId="107">
    <w:name w:val="标准文件_图表脚注内容"/>
    <w:qFormat/>
    <w:uiPriority w:val="0"/>
    <w:rPr>
      <w:rFonts w:ascii="宋体" w:hAnsi="宋体" w:eastAsia="宋体" w:cs="Times New Roman"/>
      <w:spacing w:val="0"/>
      <w:sz w:val="18"/>
      <w:vertAlign w:val="superscript"/>
    </w:rPr>
  </w:style>
  <w:style w:type="paragraph" w:customStyle="1" w:styleId="108">
    <w:name w:val="标准文件_五级条标题"/>
    <w:next w:val="61"/>
    <w:qFormat/>
    <w:uiPriority w:val="0"/>
    <w:pPr>
      <w:widowControl w:val="0"/>
      <w:numPr>
        <w:ilvl w:val="6"/>
        <w:numId w:val="2"/>
      </w:numPr>
      <w:spacing w:before="50" w:beforeLines="50" w:after="50" w:afterLines="50"/>
      <w:jc w:val="both"/>
      <w:outlineLvl w:val="5"/>
    </w:pPr>
    <w:rPr>
      <w:rFonts w:ascii="黑体" w:hAnsi="Times New Roman" w:eastAsia="黑体" w:cs="Times New Roman"/>
      <w:sz w:val="21"/>
      <w:lang w:val="en-US" w:eastAsia="zh-CN" w:bidi="ar-SA"/>
    </w:rPr>
  </w:style>
  <w:style w:type="paragraph" w:customStyle="1" w:styleId="109">
    <w:name w:val="标准文件_章标题"/>
    <w:next w:val="61"/>
    <w:qFormat/>
    <w:uiPriority w:val="0"/>
    <w:pPr>
      <w:numPr>
        <w:ilvl w:val="1"/>
        <w:numId w:val="2"/>
      </w:numPr>
      <w:spacing w:before="100" w:beforeLines="100" w:after="100" w:afterLines="100"/>
      <w:jc w:val="both"/>
      <w:outlineLvl w:val="0"/>
    </w:pPr>
    <w:rPr>
      <w:rFonts w:ascii="黑体" w:hAnsi="Times New Roman" w:eastAsia="黑体" w:cs="Times New Roman"/>
      <w:sz w:val="21"/>
      <w:lang w:val="en-US" w:eastAsia="zh-CN" w:bidi="ar-SA"/>
    </w:rPr>
  </w:style>
  <w:style w:type="paragraph" w:customStyle="1" w:styleId="110">
    <w:name w:val="标准文件_一级条标题"/>
    <w:basedOn w:val="109"/>
    <w:next w:val="61"/>
    <w:qFormat/>
    <w:uiPriority w:val="0"/>
    <w:pPr>
      <w:numPr>
        <w:ilvl w:val="2"/>
      </w:numPr>
      <w:spacing w:before="50" w:beforeLines="50" w:after="50" w:afterLines="50"/>
      <w:outlineLvl w:val="1"/>
    </w:pPr>
  </w:style>
  <w:style w:type="paragraph" w:customStyle="1" w:styleId="111">
    <w:name w:val="标准文件_一致程度"/>
    <w:basedOn w:val="1"/>
    <w:qFormat/>
    <w:uiPriority w:val="0"/>
    <w:pPr>
      <w:spacing w:line="440" w:lineRule="exact"/>
      <w:jc w:val="center"/>
    </w:pPr>
    <w:rPr>
      <w:sz w:val="28"/>
    </w:rPr>
  </w:style>
  <w:style w:type="paragraph" w:customStyle="1" w:styleId="112">
    <w:name w:val="标准文件_引言标题"/>
    <w:next w:val="1"/>
    <w:qFormat/>
    <w:uiPriority w:val="0"/>
    <w:pPr>
      <w:shd w:val="clear" w:color="FFFFFF" w:fill="FFFFFF"/>
      <w:spacing w:before="540" w:after="600"/>
      <w:jc w:val="center"/>
      <w:outlineLvl w:val="0"/>
    </w:pPr>
    <w:rPr>
      <w:rFonts w:ascii="黑体" w:hAnsi="Times New Roman" w:eastAsia="黑体" w:cs="Times New Roman"/>
      <w:sz w:val="32"/>
      <w:lang w:val="en-US" w:eastAsia="zh-CN" w:bidi="ar-SA"/>
    </w:rPr>
  </w:style>
  <w:style w:type="paragraph" w:customStyle="1" w:styleId="113">
    <w:name w:val="标准文件_英文图表脚注"/>
    <w:basedOn w:val="60"/>
    <w:qFormat/>
    <w:uiPriority w:val="0"/>
    <w:pPr>
      <w:widowControl/>
      <w:adjustRightInd/>
      <w:snapToGrid/>
      <w:spacing w:line="240" w:lineRule="auto"/>
      <w:ind w:left="79" w:hanging="79" w:hangingChars="80"/>
    </w:pPr>
    <w:rPr>
      <w:rFonts w:ascii="宋体" w:hAnsi="宋体"/>
    </w:rPr>
  </w:style>
  <w:style w:type="paragraph" w:customStyle="1" w:styleId="114">
    <w:name w:val="标准文件_数字编号列项（二级）"/>
    <w:qFormat/>
    <w:uiPriority w:val="0"/>
    <w:pPr>
      <w:numPr>
        <w:ilvl w:val="1"/>
        <w:numId w:val="13"/>
      </w:numPr>
      <w:tabs>
        <w:tab w:val="left" w:pos="851"/>
      </w:tabs>
      <w:jc w:val="both"/>
    </w:pPr>
    <w:rPr>
      <w:rFonts w:ascii="宋体" w:hAnsi="Times New Roman" w:eastAsia="宋体" w:cs="Times New Roman"/>
      <w:sz w:val="21"/>
      <w:lang w:val="en-US" w:eastAsia="zh-CN" w:bidi="ar-SA"/>
    </w:rPr>
  </w:style>
  <w:style w:type="paragraph" w:customStyle="1" w:styleId="115">
    <w:name w:val="标准文件_英文注："/>
    <w:basedOn w:val="1"/>
    <w:next w:val="61"/>
    <w:qFormat/>
    <w:uiPriority w:val="0"/>
    <w:pPr>
      <w:numPr>
        <w:ilvl w:val="0"/>
        <w:numId w:val="14"/>
      </w:numPr>
      <w:tabs>
        <w:tab w:val="left" w:pos="420"/>
      </w:tabs>
      <w:autoSpaceDE w:val="0"/>
      <w:autoSpaceDN w:val="0"/>
      <w:spacing w:line="240" w:lineRule="auto"/>
    </w:pPr>
    <w:rPr>
      <w:rFonts w:ascii="宋体" w:hAnsi="宋体"/>
      <w:kern w:val="0"/>
      <w:sz w:val="18"/>
      <w:szCs w:val="20"/>
    </w:rPr>
  </w:style>
  <w:style w:type="paragraph" w:customStyle="1" w:styleId="116">
    <w:name w:val="标准文件_英文注×："/>
    <w:basedOn w:val="1"/>
    <w:qFormat/>
    <w:uiPriority w:val="0"/>
    <w:pPr>
      <w:numPr>
        <w:ilvl w:val="0"/>
        <w:numId w:val="15"/>
      </w:numPr>
      <w:tabs>
        <w:tab w:val="left" w:pos="210"/>
      </w:tabs>
      <w:autoSpaceDE w:val="0"/>
      <w:autoSpaceDN w:val="0"/>
      <w:spacing w:line="240" w:lineRule="auto"/>
    </w:pPr>
    <w:rPr>
      <w:rFonts w:ascii="宋体" w:hAnsi="宋体"/>
      <w:kern w:val="0"/>
      <w:szCs w:val="20"/>
    </w:rPr>
  </w:style>
  <w:style w:type="paragraph" w:customStyle="1" w:styleId="117">
    <w:name w:val="标准文件_正文表标题"/>
    <w:next w:val="61"/>
    <w:qFormat/>
    <w:uiPriority w:val="0"/>
    <w:pPr>
      <w:numPr>
        <w:ilvl w:val="0"/>
        <w:numId w:val="16"/>
      </w:numPr>
      <w:tabs>
        <w:tab w:val="left" w:pos="0"/>
      </w:tabs>
      <w:spacing w:before="50" w:beforeLines="50" w:after="50" w:afterLines="50"/>
      <w:jc w:val="center"/>
    </w:pPr>
    <w:rPr>
      <w:rFonts w:ascii="黑体" w:hAnsi="Times New Roman" w:eastAsia="黑体" w:cs="Times New Roman"/>
      <w:sz w:val="21"/>
      <w:lang w:val="en-US" w:eastAsia="zh-CN" w:bidi="ar-SA"/>
    </w:rPr>
  </w:style>
  <w:style w:type="paragraph" w:customStyle="1" w:styleId="118">
    <w:name w:val="标准文件_正文公式"/>
    <w:basedOn w:val="1"/>
    <w:next w:val="60"/>
    <w:qFormat/>
    <w:uiPriority w:val="0"/>
    <w:pPr>
      <w:tabs>
        <w:tab w:val="center" w:pos="4678"/>
        <w:tab w:val="right" w:leader="middleDot" w:pos="9356"/>
      </w:tabs>
      <w:spacing w:line="240" w:lineRule="auto"/>
    </w:pPr>
    <w:rPr>
      <w:rFonts w:ascii="宋体" w:hAnsi="宋体"/>
    </w:rPr>
  </w:style>
  <w:style w:type="paragraph" w:customStyle="1" w:styleId="119">
    <w:name w:val="标准文件_正文图标题"/>
    <w:next w:val="61"/>
    <w:qFormat/>
    <w:uiPriority w:val="0"/>
    <w:pPr>
      <w:numPr>
        <w:ilvl w:val="0"/>
        <w:numId w:val="17"/>
      </w:numPr>
      <w:spacing w:before="50" w:beforeLines="50" w:after="50" w:afterLines="50"/>
      <w:jc w:val="center"/>
    </w:pPr>
    <w:rPr>
      <w:rFonts w:ascii="黑体" w:hAnsi="Times New Roman" w:eastAsia="黑体" w:cs="Times New Roman"/>
      <w:sz w:val="21"/>
      <w:lang w:val="en-US" w:eastAsia="zh-CN" w:bidi="ar-SA"/>
    </w:rPr>
  </w:style>
  <w:style w:type="paragraph" w:customStyle="1" w:styleId="120">
    <w:name w:val="标准文件_正文英文表标题"/>
    <w:next w:val="61"/>
    <w:qFormat/>
    <w:uiPriority w:val="0"/>
    <w:pPr>
      <w:numPr>
        <w:ilvl w:val="0"/>
        <w:numId w:val="18"/>
      </w:numPr>
      <w:jc w:val="center"/>
    </w:pPr>
    <w:rPr>
      <w:rFonts w:ascii="黑体" w:hAnsi="Times New Roman" w:eastAsia="黑体" w:cs="Times New Roman"/>
      <w:sz w:val="21"/>
      <w:lang w:val="en-US" w:eastAsia="zh-CN" w:bidi="ar-SA"/>
    </w:rPr>
  </w:style>
  <w:style w:type="paragraph" w:customStyle="1" w:styleId="121">
    <w:name w:val="标准文件_正文英文图标题"/>
    <w:next w:val="61"/>
    <w:qFormat/>
    <w:uiPriority w:val="0"/>
    <w:pPr>
      <w:numPr>
        <w:ilvl w:val="0"/>
        <w:numId w:val="19"/>
      </w:numPr>
      <w:jc w:val="center"/>
    </w:pPr>
    <w:rPr>
      <w:rFonts w:ascii="黑体" w:hAnsi="Times New Roman" w:eastAsia="黑体" w:cs="Times New Roman"/>
      <w:sz w:val="21"/>
      <w:lang w:val="en-US" w:eastAsia="zh-CN" w:bidi="ar-SA"/>
    </w:rPr>
  </w:style>
  <w:style w:type="paragraph" w:customStyle="1" w:styleId="122">
    <w:name w:val="标准文件_编号列项（三级）"/>
    <w:qFormat/>
    <w:uiPriority w:val="0"/>
    <w:pPr>
      <w:numPr>
        <w:ilvl w:val="2"/>
        <w:numId w:val="13"/>
      </w:numPr>
      <w:tabs>
        <w:tab w:val="left" w:pos="851"/>
      </w:tabs>
    </w:pPr>
    <w:rPr>
      <w:rFonts w:ascii="宋体" w:hAnsi="Times New Roman" w:eastAsia="宋体" w:cs="Times New Roman"/>
      <w:sz w:val="21"/>
      <w:lang w:val="en-US" w:eastAsia="zh-CN" w:bidi="ar-SA"/>
    </w:rPr>
  </w:style>
  <w:style w:type="paragraph" w:customStyle="1" w:styleId="123">
    <w:name w:val="二级无标题条"/>
    <w:basedOn w:val="1"/>
    <w:qFormat/>
    <w:uiPriority w:val="0"/>
    <w:pPr>
      <w:numPr>
        <w:ilvl w:val="3"/>
        <w:numId w:val="20"/>
      </w:numPr>
      <w:adjustRightInd/>
      <w:spacing w:line="240" w:lineRule="auto"/>
    </w:pPr>
    <w:rPr>
      <w:rFonts w:ascii="宋体" w:hAnsi="宋体"/>
      <w:szCs w:val="24"/>
    </w:rPr>
  </w:style>
  <w:style w:type="paragraph" w:customStyle="1" w:styleId="124">
    <w:name w:val="发布部门"/>
    <w:next w:val="61"/>
    <w:qFormat/>
    <w:uiPriority w:val="0"/>
    <w:pPr>
      <w:framePr w:w="7433" w:h="585" w:hRule="exact" w:hSpace="180" w:vSpace="180" w:wrap="around" w:vAnchor="margin" w:hAnchor="margin" w:xAlign="center" w:y="14401" w:anchorLock="1"/>
      <w:jc w:val="center"/>
    </w:pPr>
    <w:rPr>
      <w:rFonts w:ascii="宋体" w:hAnsi="Times New Roman" w:eastAsia="宋体" w:cs="Times New Roman"/>
      <w:b/>
      <w:w w:val="135"/>
      <w:sz w:val="36"/>
      <w:lang w:val="en-US" w:eastAsia="zh-CN" w:bidi="ar-SA"/>
    </w:rPr>
  </w:style>
  <w:style w:type="paragraph" w:customStyle="1" w:styleId="125">
    <w:name w:val="发布日期"/>
    <w:qFormat/>
    <w:uiPriority w:val="0"/>
    <w:pPr>
      <w:framePr w:w="4000" w:h="473" w:hRule="exact" w:hSpace="180" w:vSpace="180" w:wrap="around" w:vAnchor="margin" w:hAnchor="margin" w:y="13511" w:anchorLock="1"/>
    </w:pPr>
    <w:rPr>
      <w:rFonts w:ascii="Times New Roman" w:hAnsi="Times New Roman" w:eastAsia="黑体" w:cs="Times New Roman"/>
      <w:sz w:val="28"/>
      <w:lang w:val="en-US" w:eastAsia="zh-CN" w:bidi="ar-SA"/>
    </w:rPr>
  </w:style>
  <w:style w:type="paragraph" w:customStyle="1" w:styleId="126">
    <w:name w:val="封面标准代替信息"/>
    <w:basedOn w:val="1"/>
    <w:qFormat/>
    <w:uiPriority w:val="0"/>
    <w:pPr>
      <w:framePr w:w="9138" w:h="1244" w:hRule="exact" w:wrap="auto" w:vAnchor="page" w:hAnchor="margin" w:y="2908"/>
      <w:kinsoku w:val="0"/>
      <w:overflowPunct w:val="0"/>
      <w:autoSpaceDE w:val="0"/>
      <w:autoSpaceDN w:val="0"/>
      <w:spacing w:before="57" w:line="280" w:lineRule="exact"/>
      <w:jc w:val="right"/>
      <w:textAlignment w:val="center"/>
    </w:pPr>
    <w:rPr>
      <w:rFonts w:ascii="宋体" w:hAnsi="Times New Roman"/>
      <w:kern w:val="0"/>
      <w:szCs w:val="20"/>
    </w:rPr>
  </w:style>
  <w:style w:type="paragraph" w:customStyle="1" w:styleId="127">
    <w:name w:val="封面标准名称"/>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128">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29">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130">
    <w:name w:val="封面标准英文名称"/>
    <w:qFormat/>
    <w:uiPriority w:val="0"/>
    <w:pPr>
      <w:widowControl w:val="0"/>
      <w:spacing w:line="360" w:lineRule="exact"/>
      <w:jc w:val="center"/>
    </w:pPr>
    <w:rPr>
      <w:rFonts w:ascii="Times New Roman" w:hAnsi="Times New Roman" w:eastAsia="宋体" w:cs="Times New Roman"/>
      <w:sz w:val="28"/>
      <w:lang w:val="en-US" w:eastAsia="zh-CN" w:bidi="ar-SA"/>
    </w:rPr>
  </w:style>
  <w:style w:type="paragraph" w:customStyle="1" w:styleId="131">
    <w:name w:val="封面一致性程度标识"/>
    <w:qFormat/>
    <w:uiPriority w:val="0"/>
    <w:pPr>
      <w:spacing w:before="440" w:line="440" w:lineRule="exact"/>
      <w:jc w:val="center"/>
    </w:pPr>
    <w:rPr>
      <w:rFonts w:ascii="Times New Roman" w:hAnsi="Times New Roman" w:eastAsia="宋体" w:cs="Times New Roman"/>
      <w:sz w:val="28"/>
      <w:lang w:val="en-US" w:eastAsia="zh-CN" w:bidi="ar-SA"/>
    </w:rPr>
  </w:style>
  <w:style w:type="paragraph" w:customStyle="1" w:styleId="132">
    <w:name w:val="封面正文"/>
    <w:qFormat/>
    <w:uiPriority w:val="0"/>
    <w:pPr>
      <w:jc w:val="both"/>
    </w:pPr>
    <w:rPr>
      <w:rFonts w:ascii="Times New Roman" w:hAnsi="Times New Roman" w:eastAsia="宋体" w:cs="Times New Roman"/>
      <w:lang w:val="en-US" w:eastAsia="zh-CN" w:bidi="ar-SA"/>
    </w:rPr>
  </w:style>
  <w:style w:type="paragraph" w:customStyle="1" w:styleId="133">
    <w:name w:val="附录二级无标题条"/>
    <w:basedOn w:val="1"/>
    <w:next w:val="61"/>
    <w:qFormat/>
    <w:uiPriority w:val="0"/>
    <w:pPr>
      <w:widowControl/>
      <w:wordWrap w:val="0"/>
      <w:overflowPunct w:val="0"/>
      <w:autoSpaceDE w:val="0"/>
      <w:autoSpaceDN w:val="0"/>
      <w:adjustRightInd/>
      <w:spacing w:line="240" w:lineRule="auto"/>
      <w:textAlignment w:val="baseline"/>
      <w:outlineLvl w:val="3"/>
    </w:pPr>
    <w:rPr>
      <w:rFonts w:ascii="宋体" w:hAnsi="宋体"/>
      <w:kern w:val="21"/>
    </w:rPr>
  </w:style>
  <w:style w:type="paragraph" w:customStyle="1" w:styleId="134">
    <w:name w:val="附录三级无标题条"/>
    <w:basedOn w:val="133"/>
    <w:next w:val="61"/>
    <w:qFormat/>
    <w:uiPriority w:val="0"/>
    <w:pPr>
      <w:outlineLvl w:val="4"/>
    </w:pPr>
  </w:style>
  <w:style w:type="paragraph" w:customStyle="1" w:styleId="135">
    <w:name w:val="附录四级无标题条"/>
    <w:basedOn w:val="134"/>
    <w:next w:val="61"/>
    <w:qFormat/>
    <w:uiPriority w:val="0"/>
    <w:pPr>
      <w:outlineLvl w:val="5"/>
    </w:pPr>
  </w:style>
  <w:style w:type="paragraph" w:customStyle="1" w:styleId="136">
    <w:name w:val="附录图"/>
    <w:next w:val="61"/>
    <w:qFormat/>
    <w:uiPriority w:val="0"/>
    <w:pPr>
      <w:wordWrap w:val="0"/>
      <w:overflowPunct w:val="0"/>
      <w:autoSpaceDE w:val="0"/>
      <w:spacing w:before="50" w:beforeLines="50" w:after="50" w:afterLines="50"/>
      <w:jc w:val="center"/>
      <w:textAlignment w:val="baseline"/>
      <w:outlineLvl w:val="1"/>
    </w:pPr>
    <w:rPr>
      <w:rFonts w:ascii="黑体" w:hAnsi="Times New Roman" w:eastAsia="黑体" w:cs="Times New Roman"/>
      <w:kern w:val="21"/>
      <w:sz w:val="21"/>
      <w:lang w:val="en-US" w:eastAsia="zh-CN" w:bidi="ar-SA"/>
    </w:rPr>
  </w:style>
  <w:style w:type="paragraph" w:customStyle="1" w:styleId="137">
    <w:name w:val="标准文件_一级项"/>
    <w:qFormat/>
    <w:uiPriority w:val="0"/>
    <w:pPr>
      <w:numPr>
        <w:ilvl w:val="0"/>
        <w:numId w:val="21"/>
      </w:numPr>
    </w:pPr>
    <w:rPr>
      <w:rFonts w:ascii="宋体" w:hAnsi="Times New Roman" w:eastAsia="宋体" w:cs="Times New Roman"/>
      <w:sz w:val="21"/>
      <w:lang w:val="en-US" w:eastAsia="zh-CN" w:bidi="ar-SA"/>
    </w:rPr>
  </w:style>
  <w:style w:type="paragraph" w:customStyle="1" w:styleId="138">
    <w:name w:val="附录五级无标题条"/>
    <w:basedOn w:val="135"/>
    <w:next w:val="61"/>
    <w:qFormat/>
    <w:uiPriority w:val="0"/>
    <w:pPr>
      <w:outlineLvl w:val="6"/>
    </w:pPr>
  </w:style>
  <w:style w:type="paragraph" w:customStyle="1" w:styleId="139">
    <w:name w:val="附录性质"/>
    <w:basedOn w:val="1"/>
    <w:qFormat/>
    <w:uiPriority w:val="0"/>
    <w:pPr>
      <w:widowControl/>
      <w:adjustRightInd/>
      <w:jc w:val="center"/>
    </w:pPr>
    <w:rPr>
      <w:rFonts w:ascii="黑体" w:eastAsia="黑体"/>
    </w:rPr>
  </w:style>
  <w:style w:type="paragraph" w:customStyle="1" w:styleId="140">
    <w:name w:val="附录一级无标题条"/>
    <w:basedOn w:val="92"/>
    <w:next w:val="61"/>
    <w:qFormat/>
    <w:uiPriority w:val="0"/>
    <w:pPr>
      <w:autoSpaceDN w:val="0"/>
      <w:outlineLvl w:val="2"/>
    </w:pPr>
    <w:rPr>
      <w:rFonts w:ascii="宋体" w:hAnsi="宋体" w:eastAsia="宋体"/>
    </w:rPr>
  </w:style>
  <w:style w:type="character" w:customStyle="1" w:styleId="141">
    <w:name w:val="个人答复风格"/>
    <w:qFormat/>
    <w:uiPriority w:val="0"/>
    <w:rPr>
      <w:rFonts w:ascii="Arial" w:hAnsi="Arial" w:eastAsia="宋体" w:cs="Arial"/>
      <w:color w:val="auto"/>
      <w:spacing w:val="0"/>
      <w:sz w:val="20"/>
    </w:rPr>
  </w:style>
  <w:style w:type="character" w:customStyle="1" w:styleId="142">
    <w:name w:val="个人撰写风格"/>
    <w:qFormat/>
    <w:uiPriority w:val="0"/>
    <w:rPr>
      <w:rFonts w:ascii="Arial" w:hAnsi="Arial" w:eastAsia="宋体" w:cs="Arial"/>
      <w:color w:val="auto"/>
      <w:spacing w:val="0"/>
      <w:sz w:val="20"/>
    </w:rPr>
  </w:style>
  <w:style w:type="paragraph" w:customStyle="1" w:styleId="143">
    <w:name w:val="脚注后续"/>
    <w:qFormat/>
    <w:uiPriority w:val="0"/>
    <w:pPr>
      <w:ind w:left="350" w:leftChars="350"/>
      <w:jc w:val="both"/>
    </w:pPr>
    <w:rPr>
      <w:rFonts w:ascii="宋体" w:hAnsi="Times New Roman" w:eastAsia="宋体" w:cs="Times New Roman"/>
      <w:sz w:val="18"/>
      <w:lang w:val="en-US" w:eastAsia="zh-CN" w:bidi="ar-SA"/>
    </w:rPr>
  </w:style>
  <w:style w:type="paragraph" w:customStyle="1" w:styleId="144">
    <w:name w:val="列项——"/>
    <w:qFormat/>
    <w:uiPriority w:val="0"/>
    <w:pPr>
      <w:widowControl w:val="0"/>
      <w:numPr>
        <w:ilvl w:val="0"/>
        <w:numId w:val="22"/>
      </w:numPr>
      <w:jc w:val="both"/>
    </w:pPr>
    <w:rPr>
      <w:rFonts w:ascii="宋体" w:hAnsi="宋体" w:eastAsia="宋体" w:cs="Times New Roman"/>
      <w:sz w:val="21"/>
      <w:lang w:val="en-US" w:eastAsia="zh-CN" w:bidi="ar-SA"/>
    </w:rPr>
  </w:style>
  <w:style w:type="paragraph" w:customStyle="1" w:styleId="145">
    <w:name w:val="列项·"/>
    <w:basedOn w:val="61"/>
    <w:qFormat/>
    <w:uiPriority w:val="0"/>
    <w:pPr>
      <w:tabs>
        <w:tab w:val="left" w:pos="840"/>
      </w:tabs>
    </w:pPr>
  </w:style>
  <w:style w:type="paragraph" w:customStyle="1" w:styleId="146">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47">
    <w:name w:val="目录 21"/>
    <w:basedOn w:val="1"/>
    <w:next w:val="1"/>
    <w:autoRedefine/>
    <w:semiHidden/>
    <w:qFormat/>
    <w:uiPriority w:val="0"/>
    <w:pPr>
      <w:adjustRightInd/>
      <w:spacing w:line="240" w:lineRule="auto"/>
      <w:jc w:val="left"/>
    </w:pPr>
    <w:rPr>
      <w:bCs/>
      <w:iCs/>
    </w:rPr>
  </w:style>
  <w:style w:type="paragraph" w:customStyle="1" w:styleId="148">
    <w:name w:val="目录 31"/>
    <w:basedOn w:val="1"/>
    <w:next w:val="1"/>
    <w:autoRedefine/>
    <w:semiHidden/>
    <w:qFormat/>
    <w:uiPriority w:val="0"/>
    <w:pPr>
      <w:spacing w:line="240" w:lineRule="auto"/>
    </w:pPr>
    <w:rPr>
      <w:rFonts w:ascii="宋体" w:hAnsi="宋体"/>
      <w:iCs/>
    </w:rPr>
  </w:style>
  <w:style w:type="paragraph" w:customStyle="1" w:styleId="149">
    <w:name w:val="目录 41"/>
    <w:basedOn w:val="1"/>
    <w:next w:val="1"/>
    <w:autoRedefine/>
    <w:semiHidden/>
    <w:qFormat/>
    <w:uiPriority w:val="0"/>
    <w:pPr>
      <w:adjustRightInd/>
      <w:spacing w:line="240" w:lineRule="auto"/>
      <w:jc w:val="left"/>
    </w:pPr>
  </w:style>
  <w:style w:type="paragraph" w:customStyle="1" w:styleId="150">
    <w:name w:val="目录 51"/>
    <w:basedOn w:val="1"/>
    <w:next w:val="1"/>
    <w:autoRedefine/>
    <w:semiHidden/>
    <w:qFormat/>
    <w:uiPriority w:val="0"/>
    <w:pPr>
      <w:spacing w:line="240" w:lineRule="auto"/>
    </w:pPr>
    <w:rPr>
      <w:rFonts w:ascii="宋体" w:hAnsi="宋体"/>
    </w:rPr>
  </w:style>
  <w:style w:type="paragraph" w:customStyle="1" w:styleId="151">
    <w:name w:val="目录 61"/>
    <w:basedOn w:val="1"/>
    <w:next w:val="1"/>
    <w:autoRedefine/>
    <w:semiHidden/>
    <w:qFormat/>
    <w:uiPriority w:val="0"/>
    <w:pPr>
      <w:adjustRightInd/>
      <w:spacing w:line="240" w:lineRule="auto"/>
      <w:jc w:val="left"/>
    </w:pPr>
  </w:style>
  <w:style w:type="paragraph" w:customStyle="1" w:styleId="152">
    <w:name w:val="目录 71"/>
    <w:basedOn w:val="151"/>
    <w:autoRedefine/>
    <w:semiHidden/>
    <w:qFormat/>
    <w:uiPriority w:val="0"/>
    <w:pPr>
      <w:ind w:left="1260"/>
    </w:pPr>
  </w:style>
  <w:style w:type="paragraph" w:customStyle="1" w:styleId="153">
    <w:name w:val="目录 81"/>
    <w:basedOn w:val="152"/>
    <w:autoRedefine/>
    <w:semiHidden/>
    <w:qFormat/>
    <w:uiPriority w:val="0"/>
    <w:pPr>
      <w:ind w:left="1470"/>
    </w:pPr>
  </w:style>
  <w:style w:type="paragraph" w:customStyle="1" w:styleId="154">
    <w:name w:val="目录 91"/>
    <w:basedOn w:val="153"/>
    <w:autoRedefine/>
    <w:semiHidden/>
    <w:qFormat/>
    <w:uiPriority w:val="0"/>
    <w:pPr>
      <w:ind w:left="1680"/>
    </w:pPr>
  </w:style>
  <w:style w:type="paragraph" w:customStyle="1" w:styleId="155">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156">
    <w:name w:val="其他发布部门"/>
    <w:basedOn w:val="124"/>
    <w:qFormat/>
    <w:uiPriority w:val="0"/>
    <w:pPr>
      <w:framePr w:wrap="around"/>
      <w:spacing w:line="0" w:lineRule="atLeast"/>
    </w:pPr>
    <w:rPr>
      <w:rFonts w:ascii="黑体" w:eastAsia="黑体"/>
      <w:b w:val="0"/>
    </w:rPr>
  </w:style>
  <w:style w:type="paragraph" w:customStyle="1" w:styleId="157">
    <w:name w:val="前言标题"/>
    <w:next w:val="1"/>
    <w:qFormat/>
    <w:uiPriority w:val="0"/>
    <w:pPr>
      <w:numPr>
        <w:ilvl w:val="0"/>
        <w:numId w:val="2"/>
      </w:numPr>
      <w:shd w:val="clear" w:color="FFFFFF" w:fill="FFFFFF"/>
      <w:spacing w:before="540" w:after="600"/>
      <w:jc w:val="center"/>
      <w:outlineLvl w:val="0"/>
    </w:pPr>
    <w:rPr>
      <w:rFonts w:ascii="黑体" w:hAnsi="Times New Roman" w:eastAsia="黑体" w:cs="Times New Roman"/>
      <w:sz w:val="32"/>
      <w:lang w:val="en-US" w:eastAsia="zh-CN" w:bidi="ar-SA"/>
    </w:rPr>
  </w:style>
  <w:style w:type="paragraph" w:customStyle="1" w:styleId="158">
    <w:name w:val="三级无标题条"/>
    <w:basedOn w:val="1"/>
    <w:qFormat/>
    <w:uiPriority w:val="0"/>
    <w:pPr>
      <w:numPr>
        <w:ilvl w:val="4"/>
        <w:numId w:val="20"/>
      </w:numPr>
      <w:adjustRightInd/>
      <w:spacing w:line="240" w:lineRule="auto"/>
    </w:pPr>
    <w:rPr>
      <w:rFonts w:ascii="宋体" w:hAnsi="宋体"/>
      <w:szCs w:val="24"/>
    </w:rPr>
  </w:style>
  <w:style w:type="paragraph" w:customStyle="1" w:styleId="159">
    <w:name w:val="实施日期"/>
    <w:basedOn w:val="125"/>
    <w:qFormat/>
    <w:uiPriority w:val="0"/>
    <w:pPr>
      <w:framePr w:hSpace="0" w:wrap="around" w:xAlign="right"/>
      <w:jc w:val="right"/>
    </w:pPr>
  </w:style>
  <w:style w:type="paragraph" w:customStyle="1" w:styleId="160">
    <w:name w:val="四级无标题条"/>
    <w:basedOn w:val="1"/>
    <w:qFormat/>
    <w:uiPriority w:val="0"/>
    <w:pPr>
      <w:numPr>
        <w:ilvl w:val="5"/>
        <w:numId w:val="20"/>
      </w:numPr>
      <w:adjustRightInd/>
      <w:spacing w:line="240" w:lineRule="auto"/>
    </w:pPr>
    <w:rPr>
      <w:rFonts w:ascii="宋体" w:hAnsi="宋体"/>
      <w:szCs w:val="24"/>
    </w:rPr>
  </w:style>
  <w:style w:type="paragraph" w:customStyle="1" w:styleId="161">
    <w:name w:val="文献分类号"/>
    <w:qFormat/>
    <w:uiPriority w:val="0"/>
    <w:pPr>
      <w:framePr w:hSpace="180" w:vSpace="180" w:wrap="around" w:vAnchor="margin" w:hAnchor="margin" w:y="1" w:anchorLock="1"/>
      <w:widowControl w:val="0"/>
      <w:textAlignment w:val="center"/>
    </w:pPr>
    <w:rPr>
      <w:rFonts w:ascii="Times New Roman" w:hAnsi="Times New Roman" w:eastAsia="黑体" w:cs="Times New Roman"/>
      <w:sz w:val="21"/>
      <w:lang w:val="en-US" w:eastAsia="zh-CN" w:bidi="ar-SA"/>
    </w:rPr>
  </w:style>
  <w:style w:type="paragraph" w:customStyle="1" w:styleId="162">
    <w:name w:val="无标题条"/>
    <w:next w:val="61"/>
    <w:qFormat/>
    <w:uiPriority w:val="0"/>
    <w:pPr>
      <w:jc w:val="both"/>
    </w:pPr>
    <w:rPr>
      <w:rFonts w:ascii="宋体" w:hAnsi="宋体" w:eastAsia="宋体" w:cs="Times New Roman"/>
      <w:sz w:val="21"/>
      <w:lang w:val="en-US" w:eastAsia="zh-CN" w:bidi="ar-SA"/>
    </w:rPr>
  </w:style>
  <w:style w:type="paragraph" w:customStyle="1" w:styleId="163">
    <w:name w:val="五级无标题条"/>
    <w:basedOn w:val="1"/>
    <w:qFormat/>
    <w:uiPriority w:val="0"/>
    <w:pPr>
      <w:numPr>
        <w:ilvl w:val="6"/>
        <w:numId w:val="20"/>
      </w:numPr>
      <w:adjustRightInd/>
    </w:pPr>
    <w:rPr>
      <w:szCs w:val="24"/>
    </w:rPr>
  </w:style>
  <w:style w:type="paragraph" w:customStyle="1" w:styleId="164">
    <w:name w:val="一级无标题条"/>
    <w:basedOn w:val="1"/>
    <w:qFormat/>
    <w:uiPriority w:val="0"/>
    <w:pPr>
      <w:numPr>
        <w:ilvl w:val="2"/>
        <w:numId w:val="20"/>
      </w:numPr>
      <w:adjustRightInd/>
      <w:spacing w:before="10" w:after="10" w:line="240" w:lineRule="auto"/>
    </w:pPr>
    <w:rPr>
      <w:rFonts w:ascii="宋体" w:hAnsi="宋体"/>
      <w:szCs w:val="24"/>
    </w:rPr>
  </w:style>
  <w:style w:type="paragraph" w:customStyle="1" w:styleId="165">
    <w:name w:val="注:后续"/>
    <w:qFormat/>
    <w:uiPriority w:val="0"/>
    <w:pPr>
      <w:spacing w:line="300" w:lineRule="exact"/>
      <w:ind w:left="600" w:leftChars="400" w:hanging="200" w:hangingChars="200"/>
      <w:jc w:val="both"/>
    </w:pPr>
    <w:rPr>
      <w:rFonts w:ascii="宋体" w:hAnsi="Times New Roman" w:eastAsia="宋体" w:cs="Times New Roman"/>
      <w:sz w:val="18"/>
      <w:lang w:val="en-US" w:eastAsia="zh-CN" w:bidi="ar-SA"/>
    </w:rPr>
  </w:style>
  <w:style w:type="paragraph" w:customStyle="1" w:styleId="166">
    <w:name w:val="注×:后续"/>
    <w:basedOn w:val="165"/>
    <w:qFormat/>
    <w:uiPriority w:val="0"/>
    <w:pPr>
      <w:ind w:left="1406" w:leftChars="0" w:hanging="499" w:firstLineChars="0"/>
    </w:pPr>
  </w:style>
  <w:style w:type="paragraph" w:customStyle="1" w:styleId="167">
    <w:name w:val="标准文件_一级无标题"/>
    <w:basedOn w:val="110"/>
    <w:qFormat/>
    <w:uiPriority w:val="0"/>
    <w:pPr>
      <w:spacing w:before="0" w:beforeLines="0" w:after="0" w:afterLines="0"/>
      <w:outlineLvl w:val="9"/>
    </w:pPr>
    <w:rPr>
      <w:rFonts w:ascii="宋体" w:eastAsia="宋体"/>
    </w:rPr>
  </w:style>
  <w:style w:type="paragraph" w:customStyle="1" w:styleId="168">
    <w:name w:val="标准文件_五级无标题"/>
    <w:basedOn w:val="108"/>
    <w:qFormat/>
    <w:uiPriority w:val="0"/>
    <w:pPr>
      <w:spacing w:before="0" w:beforeLines="0" w:after="0" w:afterLines="0"/>
      <w:outlineLvl w:val="9"/>
    </w:pPr>
    <w:rPr>
      <w:rFonts w:ascii="宋体" w:eastAsia="宋体"/>
    </w:rPr>
  </w:style>
  <w:style w:type="paragraph" w:customStyle="1" w:styleId="169">
    <w:name w:val="标准文件_三级无标题"/>
    <w:basedOn w:val="99"/>
    <w:qFormat/>
    <w:uiPriority w:val="0"/>
    <w:pPr>
      <w:spacing w:before="0" w:beforeLines="0" w:after="0" w:afterLines="0"/>
      <w:outlineLvl w:val="9"/>
    </w:pPr>
    <w:rPr>
      <w:rFonts w:ascii="宋体" w:eastAsia="宋体"/>
    </w:rPr>
  </w:style>
  <w:style w:type="paragraph" w:customStyle="1" w:styleId="170">
    <w:name w:val="标准文件_二级无标题"/>
    <w:basedOn w:val="70"/>
    <w:qFormat/>
    <w:uiPriority w:val="0"/>
    <w:pPr>
      <w:spacing w:before="0" w:beforeLines="0" w:after="0" w:afterLines="0"/>
      <w:outlineLvl w:val="9"/>
    </w:pPr>
    <w:rPr>
      <w:rFonts w:ascii="宋体" w:eastAsia="宋体"/>
    </w:rPr>
  </w:style>
  <w:style w:type="paragraph" w:customStyle="1" w:styleId="171">
    <w:name w:val="标准_四级无标题"/>
    <w:basedOn w:val="103"/>
    <w:next w:val="61"/>
    <w:qFormat/>
    <w:uiPriority w:val="0"/>
    <w:rPr>
      <w:rFonts w:eastAsia="宋体"/>
    </w:rPr>
  </w:style>
  <w:style w:type="paragraph" w:customStyle="1" w:styleId="172">
    <w:name w:val="标准文件_四级无标题"/>
    <w:basedOn w:val="103"/>
    <w:qFormat/>
    <w:uiPriority w:val="0"/>
    <w:pPr>
      <w:spacing w:before="0" w:beforeLines="0" w:after="0" w:afterLines="0"/>
      <w:outlineLvl w:val="9"/>
    </w:pPr>
    <w:rPr>
      <w:rFonts w:ascii="宋体" w:hAnsi="黑体" w:eastAsia="宋体"/>
      <w:szCs w:val="52"/>
    </w:rPr>
  </w:style>
  <w:style w:type="paragraph" w:customStyle="1" w:styleId="173">
    <w:name w:val="标准文件_大写罗马数字编号列项"/>
    <w:basedOn w:val="61"/>
    <w:qFormat/>
    <w:uiPriority w:val="0"/>
    <w:pPr>
      <w:numPr>
        <w:ilvl w:val="0"/>
        <w:numId w:val="23"/>
      </w:numPr>
      <w:ind w:firstLine="0" w:firstLineChars="0"/>
    </w:pPr>
    <w:rPr>
      <w:rFonts w:ascii="Times New Roman" w:cs="Arial"/>
      <w:szCs w:val="28"/>
    </w:rPr>
  </w:style>
  <w:style w:type="paragraph" w:customStyle="1" w:styleId="174">
    <w:name w:val="标准文件_小写罗马数字编号列项"/>
    <w:basedOn w:val="61"/>
    <w:qFormat/>
    <w:uiPriority w:val="0"/>
    <w:pPr>
      <w:numPr>
        <w:ilvl w:val="0"/>
        <w:numId w:val="24"/>
      </w:numPr>
      <w:ind w:firstLine="0" w:firstLineChars="0"/>
    </w:pPr>
    <w:rPr>
      <w:rFonts w:cs="Arial"/>
      <w:szCs w:val="28"/>
    </w:rPr>
  </w:style>
  <w:style w:type="paragraph" w:customStyle="1" w:styleId="175">
    <w:name w:val="标准文件_附录标题"/>
    <w:basedOn w:val="81"/>
    <w:qFormat/>
    <w:uiPriority w:val="0"/>
    <w:pPr>
      <w:numPr>
        <w:numId w:val="0"/>
      </w:numPr>
      <w:spacing w:after="280"/>
      <w:outlineLvl w:val="9"/>
    </w:pPr>
  </w:style>
  <w:style w:type="paragraph" w:customStyle="1" w:styleId="176">
    <w:name w:val="标准文件_二级项"/>
    <w:qFormat/>
    <w:uiPriority w:val="0"/>
    <w:rPr>
      <w:rFonts w:ascii="宋体" w:hAnsi="Times New Roman" w:eastAsia="宋体" w:cs="Times New Roman"/>
      <w:sz w:val="21"/>
      <w:lang w:val="en-US" w:eastAsia="zh-CN" w:bidi="ar-SA"/>
    </w:rPr>
  </w:style>
  <w:style w:type="paragraph" w:customStyle="1" w:styleId="177">
    <w:name w:val="标准文件_三级项"/>
    <w:basedOn w:val="1"/>
    <w:qFormat/>
    <w:uiPriority w:val="0"/>
    <w:pPr>
      <w:numPr>
        <w:ilvl w:val="2"/>
        <w:numId w:val="21"/>
      </w:numPr>
      <w:spacing w:line="536870612" w:lineRule="auto"/>
    </w:pPr>
    <w:rPr>
      <w:rFonts w:ascii="Times New Roman" w:hAnsi="Times New Roman"/>
    </w:rPr>
  </w:style>
  <w:style w:type="paragraph" w:customStyle="1" w:styleId="178">
    <w:name w:val="图表脚注说明"/>
    <w:basedOn w:val="1"/>
    <w:next w:val="61"/>
    <w:qFormat/>
    <w:uiPriority w:val="0"/>
    <w:pPr>
      <w:numPr>
        <w:ilvl w:val="0"/>
        <w:numId w:val="25"/>
      </w:numPr>
      <w:adjustRightInd/>
      <w:spacing w:line="240" w:lineRule="auto"/>
    </w:pPr>
    <w:rPr>
      <w:rFonts w:ascii="宋体" w:hAnsi="Times New Roman"/>
      <w:sz w:val="18"/>
      <w:szCs w:val="18"/>
    </w:rPr>
  </w:style>
  <w:style w:type="paragraph" w:customStyle="1" w:styleId="179">
    <w:name w:val="标准文件_字母编号列项（一级）"/>
    <w:qFormat/>
    <w:uiPriority w:val="0"/>
    <w:pPr>
      <w:numPr>
        <w:ilvl w:val="0"/>
        <w:numId w:val="13"/>
      </w:numPr>
      <w:jc w:val="both"/>
    </w:pPr>
    <w:rPr>
      <w:rFonts w:ascii="宋体" w:hAnsi="Times New Roman" w:eastAsia="宋体" w:cs="Times New Roman"/>
      <w:sz w:val="21"/>
      <w:lang w:val="en-US" w:eastAsia="zh-CN" w:bidi="ar-SA"/>
    </w:rPr>
  </w:style>
  <w:style w:type="paragraph" w:customStyle="1" w:styleId="180">
    <w:name w:val="标准文件_索引字母"/>
    <w:next w:val="61"/>
    <w:qFormat/>
    <w:uiPriority w:val="0"/>
    <w:pPr>
      <w:jc w:val="center"/>
    </w:pPr>
    <w:rPr>
      <w:rFonts w:ascii="宋体" w:hAnsi="宋体" w:eastAsia="Times New Roman" w:cs="Times New Roman"/>
      <w:b/>
      <w:kern w:val="2"/>
      <w:sz w:val="21"/>
      <w:lang w:val="en-US" w:eastAsia="zh-CN" w:bidi="ar-SA"/>
    </w:rPr>
  </w:style>
  <w:style w:type="paragraph" w:customStyle="1" w:styleId="181">
    <w:name w:val="标准文件_附录前"/>
    <w:next w:val="61"/>
    <w:qFormat/>
    <w:uiPriority w:val="0"/>
    <w:pPr>
      <w:spacing w:line="20" w:lineRule="atLeast"/>
      <w:ind w:firstLine="200"/>
    </w:pPr>
    <w:rPr>
      <w:rFonts w:ascii="宋体" w:hAnsi="宋体" w:eastAsia="宋体" w:cs="Times New Roman"/>
      <w:kern w:val="2"/>
      <w:sz w:val="10"/>
      <w:lang w:val="en-US" w:eastAsia="zh-CN" w:bidi="ar-SA"/>
    </w:rPr>
  </w:style>
  <w:style w:type="paragraph" w:customStyle="1" w:styleId="182">
    <w:name w:val="标准文件_正文标准名称"/>
    <w:qFormat/>
    <w:uiPriority w:val="0"/>
    <w:pPr>
      <w:spacing w:before="560" w:after="640" w:line="400" w:lineRule="exact"/>
      <w:jc w:val="center"/>
    </w:pPr>
    <w:rPr>
      <w:rFonts w:ascii="黑体" w:hAnsi="黑体" w:eastAsia="黑体" w:cs="Times New Roman"/>
      <w:kern w:val="2"/>
      <w:sz w:val="32"/>
      <w:szCs w:val="32"/>
      <w:lang w:val="en-US" w:eastAsia="zh-CN" w:bidi="ar-SA"/>
    </w:rPr>
  </w:style>
  <w:style w:type="paragraph" w:customStyle="1" w:styleId="183">
    <w:name w:val="标准文件_表格"/>
    <w:basedOn w:val="61"/>
    <w:qFormat/>
    <w:uiPriority w:val="0"/>
    <w:pPr>
      <w:ind w:firstLine="0" w:firstLineChars="0"/>
      <w:jc w:val="center"/>
    </w:pPr>
    <w:rPr>
      <w:sz w:val="18"/>
    </w:rPr>
  </w:style>
  <w:style w:type="paragraph" w:customStyle="1" w:styleId="184">
    <w:name w:val="标准文件_注："/>
    <w:next w:val="61"/>
    <w:qFormat/>
    <w:uiPriority w:val="0"/>
    <w:pPr>
      <w:widowControl w:val="0"/>
      <w:numPr>
        <w:ilvl w:val="0"/>
        <w:numId w:val="26"/>
      </w:numPr>
      <w:autoSpaceDE w:val="0"/>
      <w:autoSpaceDN w:val="0"/>
      <w:jc w:val="both"/>
    </w:pPr>
    <w:rPr>
      <w:rFonts w:ascii="宋体" w:hAnsi="Times New Roman" w:eastAsia="宋体" w:cs="Times New Roman"/>
      <w:sz w:val="18"/>
      <w:szCs w:val="18"/>
      <w:lang w:val="en-US" w:eastAsia="zh-CN" w:bidi="ar-SA"/>
    </w:rPr>
  </w:style>
  <w:style w:type="paragraph" w:customStyle="1" w:styleId="185">
    <w:name w:val="标准文件_注×："/>
    <w:qFormat/>
    <w:uiPriority w:val="0"/>
    <w:pPr>
      <w:widowControl w:val="0"/>
      <w:numPr>
        <w:ilvl w:val="0"/>
        <w:numId w:val="27"/>
      </w:numPr>
      <w:autoSpaceDE w:val="0"/>
      <w:autoSpaceDN w:val="0"/>
      <w:jc w:val="both"/>
    </w:pPr>
    <w:rPr>
      <w:rFonts w:ascii="宋体" w:hAnsi="Times New Roman" w:eastAsia="宋体" w:cs="Times New Roman"/>
      <w:sz w:val="18"/>
      <w:szCs w:val="18"/>
      <w:lang w:val="en-US" w:eastAsia="zh-CN" w:bidi="ar-SA"/>
    </w:rPr>
  </w:style>
  <w:style w:type="paragraph" w:customStyle="1" w:styleId="186">
    <w:name w:val="标准文件_示例："/>
    <w:next w:val="187"/>
    <w:qFormat/>
    <w:uiPriority w:val="0"/>
    <w:pPr>
      <w:widowControl w:val="0"/>
      <w:numPr>
        <w:ilvl w:val="0"/>
        <w:numId w:val="28"/>
      </w:numPr>
      <w:jc w:val="both"/>
    </w:pPr>
    <w:rPr>
      <w:rFonts w:ascii="宋体" w:hAnsi="Times New Roman" w:eastAsia="宋体" w:cs="Times New Roman"/>
      <w:sz w:val="18"/>
      <w:szCs w:val="18"/>
      <w:lang w:val="en-US" w:eastAsia="zh-CN" w:bidi="ar-SA"/>
    </w:rPr>
  </w:style>
  <w:style w:type="paragraph" w:customStyle="1" w:styleId="187">
    <w:name w:val="标准文件_示例内容"/>
    <w:basedOn w:val="61"/>
    <w:qFormat/>
    <w:uiPriority w:val="0"/>
    <w:pPr>
      <w:ind w:firstLine="420"/>
    </w:pPr>
    <w:rPr>
      <w:sz w:val="18"/>
    </w:rPr>
  </w:style>
  <w:style w:type="paragraph" w:customStyle="1" w:styleId="188">
    <w:name w:val="标准文件_示例×："/>
    <w:basedOn w:val="1"/>
    <w:next w:val="187"/>
    <w:qFormat/>
    <w:uiPriority w:val="0"/>
    <w:pPr>
      <w:widowControl/>
      <w:numPr>
        <w:ilvl w:val="0"/>
        <w:numId w:val="29"/>
      </w:numPr>
      <w:adjustRightInd/>
      <w:spacing w:line="240" w:lineRule="auto"/>
    </w:pPr>
    <w:rPr>
      <w:rFonts w:ascii="宋体" w:hAnsi="Times New Roman"/>
      <w:kern w:val="0"/>
      <w:sz w:val="18"/>
      <w:szCs w:val="18"/>
    </w:rPr>
  </w:style>
  <w:style w:type="character" w:customStyle="1" w:styleId="189">
    <w:name w:val="标准文件_段 Char"/>
    <w:link w:val="61"/>
    <w:qFormat/>
    <w:uiPriority w:val="0"/>
    <w:rPr>
      <w:rFonts w:ascii="宋体" w:hAnsi="Times New Roman"/>
      <w:sz w:val="21"/>
    </w:rPr>
  </w:style>
  <w:style w:type="paragraph" w:customStyle="1" w:styleId="190">
    <w:name w:val="标准文件_表格续"/>
    <w:basedOn w:val="61"/>
    <w:next w:val="61"/>
    <w:qFormat/>
    <w:uiPriority w:val="0"/>
    <w:pPr>
      <w:jc w:val="center"/>
    </w:pPr>
    <w:rPr>
      <w:rFonts w:ascii="黑体" w:hAnsi="黑体" w:eastAsia="黑体"/>
    </w:rPr>
  </w:style>
  <w:style w:type="character" w:styleId="191">
    <w:name w:val="Placeholder Text"/>
    <w:basedOn w:val="32"/>
    <w:semiHidden/>
    <w:qFormat/>
    <w:uiPriority w:val="99"/>
    <w:rPr>
      <w:color w:val="808080"/>
    </w:rPr>
  </w:style>
  <w:style w:type="paragraph" w:customStyle="1" w:styleId="192">
    <w:name w:val="标准文件_二级项2"/>
    <w:basedOn w:val="61"/>
    <w:qFormat/>
    <w:uiPriority w:val="0"/>
    <w:pPr>
      <w:numPr>
        <w:ilvl w:val="1"/>
        <w:numId w:val="21"/>
      </w:numPr>
      <w:ind w:firstLine="0" w:firstLineChars="0"/>
    </w:pPr>
  </w:style>
  <w:style w:type="paragraph" w:customStyle="1" w:styleId="193">
    <w:name w:val="标准文件_三级项2"/>
    <w:basedOn w:val="61"/>
    <w:qFormat/>
    <w:uiPriority w:val="0"/>
    <w:pPr>
      <w:numPr>
        <w:ilvl w:val="0"/>
        <w:numId w:val="30"/>
      </w:numPr>
      <w:spacing w:line="300" w:lineRule="exact"/>
      <w:ind w:firstLineChars="0"/>
    </w:pPr>
    <w:rPr>
      <w:rFonts w:ascii="Times New Roman"/>
    </w:rPr>
  </w:style>
  <w:style w:type="paragraph" w:customStyle="1" w:styleId="194">
    <w:name w:val="标准文件_一级项2"/>
    <w:basedOn w:val="61"/>
    <w:qFormat/>
    <w:uiPriority w:val="0"/>
    <w:pPr>
      <w:numPr>
        <w:ilvl w:val="0"/>
        <w:numId w:val="31"/>
      </w:numPr>
      <w:spacing w:line="300" w:lineRule="exact"/>
      <w:ind w:firstLineChars="0"/>
    </w:pPr>
    <w:rPr>
      <w:rFonts w:ascii="Times New Roman"/>
    </w:rPr>
  </w:style>
  <w:style w:type="paragraph" w:customStyle="1" w:styleId="195">
    <w:name w:val="标准文件_提示"/>
    <w:basedOn w:val="61"/>
    <w:next w:val="61"/>
    <w:qFormat/>
    <w:uiPriority w:val="0"/>
    <w:pPr>
      <w:ind w:firstLine="420"/>
    </w:pPr>
    <w:rPr>
      <w:rFonts w:ascii="黑体" w:eastAsia="黑体"/>
    </w:rPr>
  </w:style>
  <w:style w:type="character" w:customStyle="1" w:styleId="196">
    <w:name w:val="标准文件_来源"/>
    <w:basedOn w:val="32"/>
    <w:qFormat/>
    <w:uiPriority w:val="1"/>
    <w:rPr>
      <w:rFonts w:eastAsia="宋体"/>
      <w:sz w:val="21"/>
    </w:rPr>
  </w:style>
  <w:style w:type="paragraph" w:customStyle="1" w:styleId="197">
    <w:name w:val="标准文件_图表说明"/>
    <w:qFormat/>
    <w:uiPriority w:val="0"/>
    <w:pPr>
      <w:spacing w:line="276" w:lineRule="auto"/>
      <w:ind w:firstLine="420"/>
    </w:pPr>
    <w:rPr>
      <w:rFonts w:ascii="宋体" w:hAnsi="宋体" w:eastAsia="宋体" w:cs="Times New Roman"/>
      <w:kern w:val="2"/>
      <w:sz w:val="18"/>
      <w:lang w:val="en-US" w:eastAsia="zh-CN" w:bidi="ar-SA"/>
    </w:rPr>
  </w:style>
  <w:style w:type="paragraph" w:customStyle="1" w:styleId="198">
    <w:name w:val="其他发布日期"/>
    <w:basedOn w:val="125"/>
    <w:qFormat/>
    <w:uiPriority w:val="0"/>
    <w:pPr>
      <w:framePr w:w="3997" w:h="471" w:hRule="exact" w:hSpace="0" w:vSpace="181" w:wrap="around" w:vAnchor="page" w:hAnchor="page" w:x="1419" w:y="14097"/>
    </w:pPr>
  </w:style>
  <w:style w:type="paragraph" w:customStyle="1" w:styleId="199">
    <w:name w:val="其他实施日期"/>
    <w:basedOn w:val="159"/>
    <w:qFormat/>
    <w:uiPriority w:val="0"/>
    <w:pPr>
      <w:framePr w:w="3997" w:h="471" w:hRule="exact" w:vSpace="181" w:wrap="around" w:vAnchor="page" w:hAnchor="page" w:x="7089" w:y="14097"/>
    </w:pPr>
  </w:style>
  <w:style w:type="paragraph" w:customStyle="1" w:styleId="200">
    <w:name w:val="标准文件_文件编号"/>
    <w:basedOn w:val="61"/>
    <w:qFormat/>
    <w:uiPriority w:val="0"/>
    <w:pPr>
      <w:framePr w:w="9356" w:h="624" w:hRule="exact" w:hSpace="181" w:vSpace="181" w:wrap="auto" w:vAnchor="page" w:hAnchor="page" w:x="1419" w:y="3284"/>
      <w:wordWrap w:val="0"/>
      <w:spacing w:line="280" w:lineRule="exact"/>
      <w:ind w:firstLine="0" w:firstLineChars="0"/>
      <w:jc w:val="right"/>
    </w:pPr>
    <w:rPr>
      <w:rFonts w:ascii="黑体" w:eastAsia="黑体"/>
      <w:bCs/>
      <w:sz w:val="28"/>
      <w:szCs w:val="28"/>
    </w:rPr>
  </w:style>
  <w:style w:type="paragraph" w:customStyle="1" w:styleId="201">
    <w:name w:val="标准文件_替换文件编号"/>
    <w:basedOn w:val="200"/>
    <w:qFormat/>
    <w:uiPriority w:val="0"/>
    <w:pPr>
      <w:spacing w:before="57"/>
    </w:pPr>
    <w:rPr>
      <w:sz w:val="21"/>
    </w:rPr>
  </w:style>
  <w:style w:type="paragraph" w:customStyle="1" w:styleId="202">
    <w:name w:val="标准文件_文件名称"/>
    <w:basedOn w:val="61"/>
    <w:next w:val="61"/>
    <w:qFormat/>
    <w:uiPriority w:val="0"/>
    <w:pPr>
      <w:framePr w:w="9639" w:h="6976" w:hRule="exact" w:wrap="auto" w:vAnchor="page" w:hAnchor="page" w:y="6408"/>
      <w:autoSpaceDE/>
      <w:autoSpaceDN/>
      <w:spacing w:line="700" w:lineRule="exact"/>
      <w:ind w:firstLine="0" w:firstLineChars="0"/>
      <w:jc w:val="center"/>
    </w:pPr>
    <w:rPr>
      <w:rFonts w:ascii="黑体" w:hAnsi="黑体" w:eastAsia="黑体"/>
      <w:bCs/>
      <w:sz w:val="52"/>
    </w:rPr>
  </w:style>
  <w:style w:type="paragraph" w:customStyle="1" w:styleId="203">
    <w:name w:val="标准文件_附录图标号"/>
    <w:basedOn w:val="61"/>
    <w:next w:val="61"/>
    <w:qFormat/>
    <w:uiPriority w:val="0"/>
    <w:pPr>
      <w:numPr>
        <w:ilvl w:val="0"/>
        <w:numId w:val="6"/>
      </w:numPr>
      <w:spacing w:line="14" w:lineRule="exact"/>
      <w:ind w:firstLine="0" w:firstLineChars="0"/>
      <w:jc w:val="center"/>
    </w:pPr>
    <w:rPr>
      <w:rFonts w:ascii="黑体" w:hAnsi="黑体" w:eastAsia="黑体"/>
      <w:vanish/>
      <w:sz w:val="2"/>
      <w:szCs w:val="21"/>
    </w:rPr>
  </w:style>
  <w:style w:type="paragraph" w:customStyle="1" w:styleId="204">
    <w:name w:val="标准文件_附录表标号"/>
    <w:basedOn w:val="61"/>
    <w:next w:val="61"/>
    <w:qFormat/>
    <w:uiPriority w:val="0"/>
    <w:pPr>
      <w:numPr>
        <w:ilvl w:val="0"/>
        <w:numId w:val="5"/>
      </w:numPr>
      <w:spacing w:line="14" w:lineRule="exact"/>
      <w:ind w:firstLine="0" w:firstLineChars="0"/>
      <w:jc w:val="center"/>
    </w:pPr>
    <w:rPr>
      <w:rFonts w:eastAsia="黑体"/>
      <w:vanish/>
      <w:sz w:val="2"/>
    </w:rPr>
  </w:style>
  <w:style w:type="paragraph" w:customStyle="1" w:styleId="205">
    <w:name w:val="标准文件_引言一级条标题"/>
    <w:basedOn w:val="61"/>
    <w:next w:val="61"/>
    <w:qFormat/>
    <w:uiPriority w:val="0"/>
    <w:pPr>
      <w:numPr>
        <w:ilvl w:val="1"/>
        <w:numId w:val="8"/>
      </w:numPr>
      <w:spacing w:before="50" w:beforeLines="50" w:after="50" w:afterLines="50"/>
      <w:ind w:firstLineChars="0"/>
    </w:pPr>
    <w:rPr>
      <w:rFonts w:ascii="黑体" w:eastAsia="黑体"/>
    </w:rPr>
  </w:style>
  <w:style w:type="paragraph" w:customStyle="1" w:styleId="206">
    <w:name w:val="标准文件_引言二级条标题"/>
    <w:basedOn w:val="61"/>
    <w:next w:val="61"/>
    <w:qFormat/>
    <w:uiPriority w:val="0"/>
    <w:pPr>
      <w:numPr>
        <w:ilvl w:val="2"/>
        <w:numId w:val="8"/>
      </w:numPr>
      <w:spacing w:before="50" w:beforeLines="50" w:after="50" w:afterLines="50"/>
      <w:ind w:firstLineChars="0"/>
    </w:pPr>
    <w:rPr>
      <w:rFonts w:ascii="黑体" w:eastAsia="黑体"/>
    </w:rPr>
  </w:style>
  <w:style w:type="paragraph" w:customStyle="1" w:styleId="207">
    <w:name w:val="标准文件_引言三级条标题"/>
    <w:basedOn w:val="61"/>
    <w:next w:val="61"/>
    <w:qFormat/>
    <w:uiPriority w:val="0"/>
    <w:pPr>
      <w:numPr>
        <w:ilvl w:val="3"/>
        <w:numId w:val="8"/>
      </w:numPr>
      <w:spacing w:before="50" w:beforeLines="50" w:after="50" w:afterLines="50"/>
      <w:ind w:firstLineChars="0"/>
    </w:pPr>
    <w:rPr>
      <w:rFonts w:ascii="黑体" w:eastAsia="黑体"/>
    </w:rPr>
  </w:style>
  <w:style w:type="paragraph" w:customStyle="1" w:styleId="208">
    <w:name w:val="标准文件_引言四级条标题"/>
    <w:basedOn w:val="61"/>
    <w:next w:val="61"/>
    <w:qFormat/>
    <w:uiPriority w:val="0"/>
    <w:pPr>
      <w:numPr>
        <w:ilvl w:val="4"/>
        <w:numId w:val="8"/>
      </w:numPr>
      <w:spacing w:before="50" w:beforeLines="50" w:after="50" w:afterLines="50"/>
      <w:ind w:firstLineChars="0"/>
    </w:pPr>
    <w:rPr>
      <w:rFonts w:ascii="黑体" w:eastAsia="黑体"/>
    </w:rPr>
  </w:style>
  <w:style w:type="paragraph" w:customStyle="1" w:styleId="209">
    <w:name w:val="标准文件_引言五级条标题"/>
    <w:basedOn w:val="61"/>
    <w:next w:val="61"/>
    <w:qFormat/>
    <w:uiPriority w:val="0"/>
    <w:pPr>
      <w:numPr>
        <w:ilvl w:val="5"/>
        <w:numId w:val="8"/>
      </w:numPr>
      <w:spacing w:before="50" w:beforeLines="50" w:after="50" w:afterLines="50"/>
      <w:ind w:firstLineChars="0"/>
    </w:pPr>
    <w:rPr>
      <w:rFonts w:ascii="黑体" w:eastAsia="黑体"/>
    </w:rPr>
  </w:style>
  <w:style w:type="paragraph" w:customStyle="1" w:styleId="210">
    <w:name w:val="标准文件_注后"/>
    <w:basedOn w:val="61"/>
    <w:qFormat/>
    <w:uiPriority w:val="0"/>
    <w:pPr>
      <w:ind w:left="811" w:firstLine="0" w:firstLineChars="0"/>
    </w:pPr>
    <w:rPr>
      <w:sz w:val="18"/>
    </w:rPr>
  </w:style>
  <w:style w:type="paragraph" w:customStyle="1" w:styleId="211">
    <w:name w:val="标准文件_注X后"/>
    <w:basedOn w:val="61"/>
    <w:qFormat/>
    <w:uiPriority w:val="0"/>
    <w:pPr>
      <w:ind w:left="811" w:firstLine="0" w:firstLineChars="0"/>
    </w:pPr>
    <w:rPr>
      <w:sz w:val="18"/>
    </w:rPr>
  </w:style>
  <w:style w:type="paragraph" w:customStyle="1" w:styleId="212">
    <w:name w:val="标准文件_示例后"/>
    <w:basedOn w:val="61"/>
    <w:qFormat/>
    <w:uiPriority w:val="0"/>
    <w:pPr>
      <w:ind w:left="964" w:firstLine="0" w:firstLineChars="0"/>
    </w:pPr>
    <w:rPr>
      <w:sz w:val="18"/>
    </w:rPr>
  </w:style>
  <w:style w:type="paragraph" w:customStyle="1" w:styleId="213">
    <w:name w:val="标准文件_示例X后"/>
    <w:basedOn w:val="61"/>
    <w:link w:val="214"/>
    <w:qFormat/>
    <w:uiPriority w:val="0"/>
    <w:pPr>
      <w:ind w:left="1049" w:firstLine="0" w:firstLineChars="0"/>
    </w:pPr>
    <w:rPr>
      <w:sz w:val="18"/>
    </w:rPr>
  </w:style>
  <w:style w:type="character" w:customStyle="1" w:styleId="214">
    <w:name w:val="标准文件_示例X后 字符"/>
    <w:basedOn w:val="189"/>
    <w:link w:val="213"/>
    <w:qFormat/>
    <w:uiPriority w:val="0"/>
    <w:rPr>
      <w:rFonts w:ascii="宋体" w:hAnsi="Times New Roman"/>
      <w:sz w:val="18"/>
    </w:rPr>
  </w:style>
  <w:style w:type="paragraph" w:customStyle="1" w:styleId="215">
    <w:name w:val="标准文件_索引项"/>
    <w:basedOn w:val="61"/>
    <w:next w:val="61"/>
    <w:qFormat/>
    <w:uiPriority w:val="0"/>
    <w:pPr>
      <w:tabs>
        <w:tab w:val="right" w:leader="dot" w:pos="9356"/>
      </w:tabs>
      <w:ind w:left="210" w:hanging="210" w:firstLineChars="0"/>
      <w:jc w:val="left"/>
    </w:pPr>
  </w:style>
  <w:style w:type="paragraph" w:customStyle="1" w:styleId="216">
    <w:name w:val="标准文件_附录一级无标题"/>
    <w:basedOn w:val="83"/>
    <w:qFormat/>
    <w:uiPriority w:val="0"/>
    <w:pPr>
      <w:spacing w:before="0" w:beforeLines="0" w:after="0" w:afterLines="0" w:line="276" w:lineRule="auto"/>
      <w:outlineLvl w:val="9"/>
    </w:pPr>
    <w:rPr>
      <w:rFonts w:ascii="宋体" w:eastAsia="宋体"/>
    </w:rPr>
  </w:style>
  <w:style w:type="paragraph" w:customStyle="1" w:styleId="217">
    <w:name w:val="标准文件_附录二级无标题"/>
    <w:basedOn w:val="84"/>
    <w:qFormat/>
    <w:uiPriority w:val="0"/>
    <w:pPr>
      <w:spacing w:before="0" w:beforeLines="0" w:after="0" w:afterLines="0" w:line="276" w:lineRule="auto"/>
      <w:outlineLvl w:val="9"/>
    </w:pPr>
    <w:rPr>
      <w:rFonts w:ascii="宋体" w:eastAsia="宋体"/>
    </w:rPr>
  </w:style>
  <w:style w:type="paragraph" w:customStyle="1" w:styleId="218">
    <w:name w:val="标准文件_附录三级无标题"/>
    <w:basedOn w:val="86"/>
    <w:qFormat/>
    <w:uiPriority w:val="0"/>
    <w:pPr>
      <w:spacing w:before="0" w:beforeLines="0" w:after="0" w:afterLines="0" w:line="276" w:lineRule="auto"/>
      <w:outlineLvl w:val="9"/>
    </w:pPr>
    <w:rPr>
      <w:rFonts w:ascii="宋体" w:eastAsia="宋体"/>
    </w:rPr>
  </w:style>
  <w:style w:type="paragraph" w:customStyle="1" w:styleId="219">
    <w:name w:val="标准文件_附录四级无标题"/>
    <w:basedOn w:val="87"/>
    <w:qFormat/>
    <w:uiPriority w:val="0"/>
    <w:pPr>
      <w:spacing w:before="0" w:beforeLines="0" w:after="0" w:afterLines="0" w:line="276" w:lineRule="auto"/>
      <w:outlineLvl w:val="9"/>
    </w:pPr>
    <w:rPr>
      <w:rFonts w:ascii="宋体" w:eastAsia="宋体"/>
    </w:rPr>
  </w:style>
  <w:style w:type="paragraph" w:customStyle="1" w:styleId="220">
    <w:name w:val="标准文件_附录五级无标题"/>
    <w:basedOn w:val="89"/>
    <w:qFormat/>
    <w:uiPriority w:val="0"/>
    <w:pPr>
      <w:spacing w:before="0" w:beforeLines="0" w:after="0" w:afterLines="0" w:line="276" w:lineRule="auto"/>
      <w:outlineLvl w:val="9"/>
    </w:pPr>
    <w:rPr>
      <w:rFonts w:ascii="宋体" w:eastAsia="宋体"/>
    </w:rPr>
  </w:style>
  <w:style w:type="paragraph" w:customStyle="1" w:styleId="221">
    <w:name w:val="标准文件_引言一级无标题"/>
    <w:basedOn w:val="205"/>
    <w:next w:val="61"/>
    <w:qFormat/>
    <w:uiPriority w:val="0"/>
    <w:pPr>
      <w:spacing w:before="0" w:beforeLines="0" w:after="0" w:afterLines="0" w:line="276" w:lineRule="auto"/>
    </w:pPr>
    <w:rPr>
      <w:rFonts w:ascii="宋体" w:eastAsia="宋体"/>
    </w:rPr>
  </w:style>
  <w:style w:type="paragraph" w:customStyle="1" w:styleId="222">
    <w:name w:val="标准文件_引言二级无标题"/>
    <w:basedOn w:val="206"/>
    <w:next w:val="61"/>
    <w:qFormat/>
    <w:uiPriority w:val="0"/>
    <w:pPr>
      <w:spacing w:before="0" w:beforeLines="0" w:after="0" w:afterLines="0" w:line="276" w:lineRule="auto"/>
    </w:pPr>
    <w:rPr>
      <w:rFonts w:ascii="宋体" w:eastAsia="宋体"/>
    </w:rPr>
  </w:style>
  <w:style w:type="paragraph" w:customStyle="1" w:styleId="223">
    <w:name w:val="标准文件_引言三级无标题"/>
    <w:basedOn w:val="207"/>
    <w:qFormat/>
    <w:uiPriority w:val="0"/>
    <w:pPr>
      <w:spacing w:before="0" w:beforeLines="0" w:after="0" w:afterLines="0" w:line="276" w:lineRule="auto"/>
    </w:pPr>
    <w:rPr>
      <w:rFonts w:ascii="宋体" w:eastAsia="宋体"/>
    </w:rPr>
  </w:style>
  <w:style w:type="paragraph" w:customStyle="1" w:styleId="224">
    <w:name w:val="标准文件_引言四级无标题"/>
    <w:basedOn w:val="208"/>
    <w:next w:val="61"/>
    <w:qFormat/>
    <w:uiPriority w:val="0"/>
    <w:pPr>
      <w:spacing w:before="0" w:beforeLines="0" w:after="0" w:afterLines="0" w:line="276" w:lineRule="auto"/>
    </w:pPr>
    <w:rPr>
      <w:rFonts w:ascii="宋体" w:eastAsia="宋体"/>
    </w:rPr>
  </w:style>
  <w:style w:type="paragraph" w:customStyle="1" w:styleId="225">
    <w:name w:val="标准文件_引言五级无标题"/>
    <w:basedOn w:val="209"/>
    <w:next w:val="61"/>
    <w:qFormat/>
    <w:uiPriority w:val="0"/>
    <w:pPr>
      <w:spacing w:before="0" w:beforeLines="0" w:after="0" w:afterLines="0" w:line="276" w:lineRule="auto"/>
    </w:pPr>
    <w:rPr>
      <w:rFonts w:ascii="宋体" w:eastAsia="宋体"/>
    </w:rPr>
  </w:style>
  <w:style w:type="paragraph" w:customStyle="1" w:styleId="226">
    <w:name w:val="标准文件_索引标题"/>
    <w:basedOn w:val="68"/>
    <w:next w:val="61"/>
    <w:qFormat/>
    <w:uiPriority w:val="0"/>
    <w:rPr>
      <w:rFonts w:hAnsi="黑体"/>
    </w:rPr>
  </w:style>
  <w:style w:type="paragraph" w:customStyle="1" w:styleId="227">
    <w:name w:val="标准文件_脚注内容"/>
    <w:basedOn w:val="61"/>
    <w:qFormat/>
    <w:uiPriority w:val="0"/>
    <w:pPr>
      <w:ind w:left="400" w:leftChars="200" w:hanging="200" w:hangingChars="200"/>
    </w:pPr>
    <w:rPr>
      <w:sz w:val="15"/>
    </w:rPr>
  </w:style>
  <w:style w:type="paragraph" w:customStyle="1" w:styleId="228">
    <w:name w:val="标准文件_术语条一"/>
    <w:basedOn w:val="167"/>
    <w:next w:val="61"/>
    <w:qFormat/>
    <w:uiPriority w:val="0"/>
  </w:style>
  <w:style w:type="paragraph" w:customStyle="1" w:styleId="229">
    <w:name w:val="标准文件_术语条二"/>
    <w:basedOn w:val="170"/>
    <w:next w:val="61"/>
    <w:qFormat/>
    <w:uiPriority w:val="0"/>
  </w:style>
  <w:style w:type="paragraph" w:customStyle="1" w:styleId="230">
    <w:name w:val="标准文件_术语条三"/>
    <w:basedOn w:val="169"/>
    <w:next w:val="61"/>
    <w:qFormat/>
    <w:uiPriority w:val="0"/>
  </w:style>
  <w:style w:type="paragraph" w:customStyle="1" w:styleId="231">
    <w:name w:val="标准文件_术语条四"/>
    <w:basedOn w:val="172"/>
    <w:next w:val="61"/>
    <w:qFormat/>
    <w:uiPriority w:val="0"/>
  </w:style>
  <w:style w:type="paragraph" w:customStyle="1" w:styleId="232">
    <w:name w:val="标准文件_术语条五"/>
    <w:basedOn w:val="168"/>
    <w:next w:val="61"/>
    <w:qFormat/>
    <w:uiPriority w:val="0"/>
  </w:style>
  <w:style w:type="paragraph" w:customStyle="1" w:styleId="233">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234">
    <w:name w:val="发布"/>
    <w:basedOn w:val="32"/>
    <w:qFormat/>
    <w:uiPriority w:val="0"/>
    <w:rPr>
      <w:rFonts w:ascii="黑体" w:eastAsia="黑体"/>
      <w:spacing w:val="85"/>
      <w:w w:val="100"/>
      <w:position w:val="3"/>
      <w:sz w:val="28"/>
      <w:szCs w:val="28"/>
    </w:rPr>
  </w:style>
  <w:style w:type="paragraph" w:customStyle="1" w:styleId="235">
    <w:name w:val="正文首行缩进 21"/>
    <w:basedOn w:val="15"/>
    <w:unhideWhenUsed/>
    <w:qFormat/>
    <w:uiPriority w:val="99"/>
    <w:pPr>
      <w:adjustRightInd/>
      <w:spacing w:line="240" w:lineRule="auto"/>
      <w:ind w:firstLine="420" w:firstLineChars="200"/>
    </w:pPr>
    <w:rPr>
      <w:szCs w:val="24"/>
    </w:rPr>
  </w:style>
  <w:style w:type="character" w:customStyle="1" w:styleId="236">
    <w:name w:val="正文文本缩进 Char"/>
    <w:basedOn w:val="32"/>
    <w:link w:val="15"/>
    <w:semiHidden/>
    <w:qFormat/>
    <w:uiPriority w:val="99"/>
    <w:rPr>
      <w:kern w:val="2"/>
      <w:sz w:val="21"/>
      <w:szCs w:val="21"/>
    </w:rPr>
  </w:style>
  <w:style w:type="paragraph" w:customStyle="1" w:styleId="237">
    <w:name w:val="修订1"/>
    <w:hidden/>
    <w:semiHidden/>
    <w:qFormat/>
    <w:uiPriority w:val="99"/>
    <w:rPr>
      <w:rFonts w:ascii="Calibri" w:hAnsi="Calibri" w:eastAsia="宋体" w:cs="Times New Roman"/>
      <w:kern w:val="2"/>
      <w:sz w:val="21"/>
      <w:szCs w:val="21"/>
      <w:lang w:val="en-US" w:eastAsia="zh-CN" w:bidi="ar-SA"/>
    </w:rPr>
  </w:style>
  <w:style w:type="character" w:customStyle="1" w:styleId="238">
    <w:name w:val="批注文字 Char"/>
    <w:basedOn w:val="32"/>
    <w:link w:val="13"/>
    <w:semiHidden/>
    <w:qFormat/>
    <w:uiPriority w:val="99"/>
    <w:rPr>
      <w:kern w:val="2"/>
      <w:sz w:val="21"/>
      <w:szCs w:val="21"/>
    </w:rPr>
  </w:style>
  <w:style w:type="character" w:customStyle="1" w:styleId="239">
    <w:name w:val="批注主题 Char"/>
    <w:basedOn w:val="238"/>
    <w:link w:val="29"/>
    <w:semiHidden/>
    <w:qFormat/>
    <w:uiPriority w:val="99"/>
    <w:rPr>
      <w:b/>
      <w:bCs/>
      <w:kern w:val="2"/>
      <w:sz w:val="21"/>
      <w:szCs w:val="21"/>
    </w:rPr>
  </w:style>
  <w:style w:type="paragraph" w:customStyle="1" w:styleId="240">
    <w:name w:val="修订2"/>
    <w:hidden/>
    <w:unhideWhenUsed/>
    <w:qFormat/>
    <w:uiPriority w:val="99"/>
    <w:rPr>
      <w:rFonts w:ascii="Calibri" w:hAnsi="Calibri" w:eastAsia="宋体" w:cs="Times New Roman"/>
      <w:kern w:val="2"/>
      <w:sz w:val="21"/>
      <w:szCs w:val="21"/>
      <w:lang w:val="en-US" w:eastAsia="zh-CN" w:bidi="ar-SA"/>
    </w:rPr>
  </w:style>
  <w:style w:type="paragraph" w:customStyle="1" w:styleId="241">
    <w:name w:val="Revision"/>
    <w:hidden/>
    <w:unhideWhenUsed/>
    <w:qFormat/>
    <w:uiPriority w:val="99"/>
    <w:rPr>
      <w:rFonts w:ascii="Calibri" w:hAnsi="Calibri" w:eastAsia="宋体" w:cs="Times New Roman"/>
      <w:kern w:val="2"/>
      <w:sz w:val="21"/>
      <w:szCs w:val="21"/>
      <w:lang w:val="en-US" w:eastAsia="zh-CN" w:bidi="ar-SA"/>
    </w:rPr>
  </w:style>
  <w:style w:type="character" w:customStyle="1" w:styleId="242">
    <w:name w:val="font21"/>
    <w:basedOn w:val="32"/>
    <w:qFormat/>
    <w:uiPriority w:val="0"/>
    <w:rPr>
      <w:rFonts w:hint="default" w:ascii="Times New Roman" w:hAnsi="Times New Roman" w:cs="Times New Roman"/>
      <w:color w:val="000000"/>
      <w:sz w:val="21"/>
      <w:szCs w:val="21"/>
      <w:u w:val="none"/>
    </w:rPr>
  </w:style>
  <w:style w:type="character" w:customStyle="1" w:styleId="243">
    <w:name w:val="font11"/>
    <w:basedOn w:val="32"/>
    <w:qFormat/>
    <w:uiPriority w:val="0"/>
    <w:rPr>
      <w:rFonts w:hint="default" w:ascii="Segoe UI" w:hAnsi="Segoe UI" w:eastAsia="Segoe UI" w:cs="Segoe UI"/>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1" Type="http://schemas.openxmlformats.org/officeDocument/2006/relationships/glossaryDocument" Target="glossary/document.xml"/><Relationship Id="rId30" Type="http://schemas.openxmlformats.org/officeDocument/2006/relationships/fontTable" Target="fontTable.xml"/><Relationship Id="rId3" Type="http://schemas.openxmlformats.org/officeDocument/2006/relationships/footnotes" Target="footnotes.xml"/><Relationship Id="rId29" Type="http://schemas.openxmlformats.org/officeDocument/2006/relationships/customXml" Target="../customXml/item2.xml"/><Relationship Id="rId28" Type="http://schemas.openxmlformats.org/officeDocument/2006/relationships/numbering" Target="numbering.xml"/><Relationship Id="rId27" Type="http://schemas.openxmlformats.org/officeDocument/2006/relationships/customXml" Target="../customXml/item1.xml"/><Relationship Id="rId26" Type="http://schemas.openxmlformats.org/officeDocument/2006/relationships/image" Target="media/image1.jpeg"/><Relationship Id="rId25" Type="http://schemas.openxmlformats.org/officeDocument/2006/relationships/theme" Target="theme/theme1.xml"/><Relationship Id="rId24" Type="http://schemas.openxmlformats.org/officeDocument/2006/relationships/footer" Target="footer8.xml"/><Relationship Id="rId23" Type="http://schemas.openxmlformats.org/officeDocument/2006/relationships/footer" Target="footer7.xml"/><Relationship Id="rId22" Type="http://schemas.openxmlformats.org/officeDocument/2006/relationships/header" Target="header12.xml"/><Relationship Id="rId21" Type="http://schemas.openxmlformats.org/officeDocument/2006/relationships/header" Target="header11.xml"/><Relationship Id="rId20" Type="http://schemas.openxmlformats.org/officeDocument/2006/relationships/header" Target="header10.xml"/><Relationship Id="rId2" Type="http://schemas.openxmlformats.org/officeDocument/2006/relationships/settings" Target="settings.xml"/><Relationship Id="rId19" Type="http://schemas.openxmlformats.org/officeDocument/2006/relationships/footer" Target="footer6.xml"/><Relationship Id="rId18" Type="http://schemas.openxmlformats.org/officeDocument/2006/relationships/footer" Target="footer5.xml"/><Relationship Id="rId17" Type="http://schemas.openxmlformats.org/officeDocument/2006/relationships/header" Target="header9.xml"/><Relationship Id="rId16" Type="http://schemas.openxmlformats.org/officeDocument/2006/relationships/header" Target="header8.xml"/><Relationship Id="rId15" Type="http://schemas.openxmlformats.org/officeDocument/2006/relationships/header" Target="header7.xml"/><Relationship Id="rId14" Type="http://schemas.openxmlformats.org/officeDocument/2006/relationships/footer" Target="footer4.xml"/><Relationship Id="rId13" Type="http://schemas.openxmlformats.org/officeDocument/2006/relationships/footer" Target="footer3.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StandardEditor\template\&#22242;&#20307;&#26631;&#20934;.dotx" TargetMode="Externa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72B77DB749804158B30A2318A9CC564E"/>
        <w:style w:val=""/>
        <w:category>
          <w:name w:val="常规"/>
          <w:gallery w:val="placeholder"/>
        </w:category>
        <w:types>
          <w:type w:val="bbPlcHdr"/>
        </w:types>
        <w:behaviors>
          <w:behavior w:val="content"/>
        </w:behaviors>
        <w:description w:val=""/>
        <w:guid w:val="{AFC8584E-F369-4486-9A9B-34CAAF0E4B66}"/>
      </w:docPartPr>
      <w:docPartBody>
        <w:p w14:paraId="4FE3A353">
          <w:pPr>
            <w:pStyle w:val="5"/>
          </w:pPr>
          <w:r>
            <w:rPr>
              <w:rStyle w:val="4"/>
              <w:rFonts w:hint="eastAsia"/>
            </w:rPr>
            <w:t>单击或点击此处输入文字。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18A4"/>
    <w:rsid w:val="001C61B9"/>
    <w:rsid w:val="001E719F"/>
    <w:rsid w:val="002218A4"/>
    <w:rsid w:val="00284073"/>
    <w:rsid w:val="007B2438"/>
    <w:rsid w:val="008E4122"/>
    <w:rsid w:val="009147F4"/>
    <w:rsid w:val="00A21E63"/>
    <w:rsid w:val="00A91FDE"/>
    <w:rsid w:val="00B06560"/>
    <w:rsid w:val="00D34AEC"/>
    <w:rsid w:val="00E91639"/>
    <w:rsid w:val="00ED2264"/>
    <w:rsid w:val="00F50495"/>
    <w:rsid w:val="00FD08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sdException w:qFormat="1" w:unhideWhenUsed="0" w:uiPriority="99" w:name="Placeholder Text"/>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14:ligatures w14:val="standardContextual"/>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semiHidden/>
    <w:qFormat/>
    <w:uiPriority w:val="99"/>
    <w:rPr>
      <w:color w:val="808080"/>
    </w:rPr>
  </w:style>
  <w:style w:type="paragraph" w:customStyle="1" w:styleId="5">
    <w:name w:val="72B77DB749804158B30A2318A9CC564E"/>
    <w:qFormat/>
    <w:uiPriority w:val="0"/>
    <w:pPr>
      <w:widowControl w:val="0"/>
      <w:jc w:val="both"/>
    </w:pPr>
    <w:rPr>
      <w:rFonts w:asciiTheme="minorHAnsi" w:hAnsiTheme="minorHAnsi" w:eastAsiaTheme="minorEastAsia" w:cstheme="minorBidi"/>
      <w:kern w:val="2"/>
      <w:sz w:val="21"/>
      <w:szCs w:val="22"/>
      <w:lang w:val="en-US" w:eastAsia="zh-CN" w:bidi="ar-SA"/>
      <w14:ligatures w14:val="standardContextual"/>
    </w:rPr>
  </w:style>
  <w:style w:type="paragraph" w:customStyle="1" w:styleId="6">
    <w:name w:val="DF262AA9FE264A0F84384FA2A5C24226"/>
    <w:qFormat/>
    <w:uiPriority w:val="0"/>
    <w:pPr>
      <w:widowControl w:val="0"/>
      <w:jc w:val="both"/>
    </w:pPr>
    <w:rPr>
      <w:rFonts w:asciiTheme="minorHAnsi" w:hAnsiTheme="minorHAnsi" w:eastAsiaTheme="minorEastAsia" w:cstheme="minorBidi"/>
      <w:kern w:val="2"/>
      <w:sz w:val="21"/>
      <w:szCs w:val="22"/>
      <w:lang w:val="en-US" w:eastAsia="zh-CN" w:bidi="ar-SA"/>
      <w14:ligatures w14:val="standardContextual"/>
    </w:rPr>
  </w:style>
  <w:style w:type="paragraph" w:customStyle="1" w:styleId="7">
    <w:name w:val="4FB0B0E0B80A4A46BB9C9C544292AD37"/>
    <w:qFormat/>
    <w:uiPriority w:val="0"/>
    <w:pPr>
      <w:widowControl w:val="0"/>
      <w:jc w:val="both"/>
    </w:pPr>
    <w:rPr>
      <w:rFonts w:asciiTheme="minorHAnsi" w:hAnsiTheme="minorHAnsi" w:eastAsiaTheme="minorEastAsia" w:cstheme="minorBidi"/>
      <w:kern w:val="2"/>
      <w:sz w:val="21"/>
      <w:szCs w:val="22"/>
      <w:lang w:val="en-US" w:eastAsia="zh-CN" w:bidi="ar-SA"/>
      <w14:ligatures w14:val="standardContextual"/>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ln>
      </a:spPr>
      <a:bodyPr/>
      <a:lst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2051"/>
    <customShpInfo spid="_x0000_s2050"/>
    <customShpInfo spid="_x0000_s2049"/>
    <customShpInfo spid="_x0000_s2054"/>
    <customShpInfo spid="_x0000_s2053"/>
    <customShpInfo spid="_x0000_s2052"/>
    <customShpInfo spid="_x0000_s2057"/>
    <customShpInfo spid="_x0000_s2056"/>
    <customShpInfo spid="_x0000_s2055"/>
    <customShpInfo spid="_x0000_s2060"/>
    <customShpInfo spid="_x0000_s2059"/>
    <customShpInfo spid="_x0000_s2058"/>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FBD2A66-7A4F-4A7C-9B8B-27DED24BAD4D}">
  <ds:schemaRefs/>
</ds:datastoreItem>
</file>

<file path=docProps/app.xml><?xml version="1.0" encoding="utf-8"?>
<Properties xmlns="http://schemas.openxmlformats.org/officeDocument/2006/extended-properties" xmlns:vt="http://schemas.openxmlformats.org/officeDocument/2006/docPropsVTypes">
  <Template>团体标准</Template>
  <Company>PCMI</Company>
  <Pages>21</Pages>
  <Words>423</Words>
  <Characters>626</Characters>
  <Lines>94</Lines>
  <Paragraphs>26</Paragraphs>
  <TotalTime>1846</TotalTime>
  <ScaleCrop>false</ScaleCrop>
  <LinksUpToDate>false</LinksUpToDate>
  <CharactersWithSpaces>765</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2025-08-14T02:33:00Z</dcterms:created>
  <dc:creator>EDY</dc:creator>
  <dc:description>&lt;config cover="true" show_menu="true" version="1.0.0" doctype="SDKXY"&gt;_x000d_
&lt;/config&gt;</dc:description>
  <cp:lastModifiedBy>薛飞</cp:lastModifiedBy>
  <cp:lastPrinted>2021-02-02T08:22:00Z</cp:lastPrinted>
  <dcterms:modified xsi:type="dcterms:W3CDTF">2025-09-25T08:56:15Z</dcterms:modified>
  <dc:title>团体标准</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type">
    <vt:lpwstr>SDKXY</vt:lpwstr>
  </property>
  <property fmtid="{D5CDD505-2E9C-101B-9397-08002B2CF9AE}" pid="3" name="cover">
    <vt:lpwstr>true</vt:lpwstr>
  </property>
  <property fmtid="{D5CDD505-2E9C-101B-9397-08002B2CF9AE}" pid="4" name="show_menu">
    <vt:lpwstr>true</vt:lpwstr>
  </property>
  <property fmtid="{D5CDD505-2E9C-101B-9397-08002B2CF9AE}" pid="5" name="version">
    <vt:lpwstr>1.0.0</vt:lpwstr>
  </property>
  <property fmtid="{D5CDD505-2E9C-101B-9397-08002B2CF9AE}" pid="6" name="xmlname">
    <vt:lpwstr>团体标准</vt:lpwstr>
  </property>
  <property fmtid="{D5CDD505-2E9C-101B-9397-08002B2CF9AE}" pid="7" name="NSTD_CODE">
    <vt:lpwstr>GB/T-</vt:lpwstr>
  </property>
  <property fmtid="{D5CDD505-2E9C-101B-9397-08002B2CF9AE}" pid="8" name="OSTD_CODE">
    <vt:lpwstr>代替 GB/T-</vt:lpwstr>
  </property>
  <property fmtid="{D5CDD505-2E9C-101B-9397-08002B2CF9AE}" pid="9" name="flag_zhengwen">
    <vt:lpwstr>0</vt:lpwstr>
  </property>
  <property fmtid="{D5CDD505-2E9C-101B-9397-08002B2CF9AE}" pid="10" name="flag_fulu">
    <vt:lpwstr>0</vt:lpwstr>
  </property>
  <property fmtid="{D5CDD505-2E9C-101B-9397-08002B2CF9AE}" pid="11" name="flag_pic">
    <vt:lpwstr>False</vt:lpwstr>
  </property>
  <property fmtid="{D5CDD505-2E9C-101B-9397-08002B2CF9AE}" pid="12" name="flag_tab">
    <vt:lpwstr>false</vt:lpwstr>
  </property>
  <property fmtid="{D5CDD505-2E9C-101B-9397-08002B2CF9AE}" pid="13" name="NumList">
    <vt:lpwstr>false</vt:lpwstr>
  </property>
  <property fmtid="{D5CDD505-2E9C-101B-9397-08002B2CF9AE}" pid="14" name="DoublePage">
    <vt:lpwstr>true</vt:lpwstr>
  </property>
  <property fmtid="{D5CDD505-2E9C-101B-9397-08002B2CF9AE}" pid="15" name="KSOTemplateDocerSaveRecord">
    <vt:lpwstr>eyJoZGlkIjoiMjJlM2JkODg0ZmE3MzgwM2ViOWY5ZTE3M2YzOWI0OGMiLCJ1c2VySWQiOiI5NTk2ODI5NzQifQ==</vt:lpwstr>
  </property>
  <property fmtid="{D5CDD505-2E9C-101B-9397-08002B2CF9AE}" pid="16" name="KSOProductBuildVer">
    <vt:lpwstr>2052-12.1.0.22529</vt:lpwstr>
  </property>
  <property fmtid="{D5CDD505-2E9C-101B-9397-08002B2CF9AE}" pid="17" name="ICV">
    <vt:lpwstr>37B6A5D124DF44C8AF2D48E2A0A08FED_13</vt:lpwstr>
  </property>
</Properties>
</file>