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D6FB06">
      <w:pPr>
        <w:autoSpaceDE w:val="0"/>
        <w:autoSpaceDN w:val="0"/>
        <w:adjustRightInd w:val="0"/>
        <w:spacing w:line="400" w:lineRule="atLeast"/>
        <w:ind w:right="306"/>
        <w:jc w:val="left"/>
        <w:rPr>
          <w:rFonts w:ascii="Times New Roman" w:hAnsi="Times New Roman" w:eastAsia="黑体" w:cs="Times New Roman"/>
          <w:b/>
          <w:kern w:val="0"/>
        </w:rPr>
      </w:pPr>
    </w:p>
    <w:p w14:paraId="49FEA4F7">
      <w:pPr>
        <w:autoSpaceDE w:val="0"/>
        <w:autoSpaceDN w:val="0"/>
        <w:adjustRightInd w:val="0"/>
        <w:spacing w:line="400" w:lineRule="atLeast"/>
        <w:ind w:right="306"/>
        <w:jc w:val="left"/>
        <w:rPr>
          <w:rFonts w:ascii="Times New Roman" w:hAnsi="Times New Roman" w:eastAsia="黑体" w:cs="Times New Roman"/>
          <w:b/>
          <w:kern w:val="0"/>
        </w:rPr>
      </w:pPr>
      <w:r>
        <w:rPr>
          <w:rFonts w:ascii="Times New Roman" w:hAnsi="Times New Roman" w:eastAsia="黑体" w:cs="Times New Roman"/>
          <w:b/>
          <w:kern w:val="0"/>
        </w:rPr>
        <w:t>ICS 07.060</w:t>
      </w:r>
    </w:p>
    <w:p w14:paraId="6731B310">
      <w:pPr>
        <w:autoSpaceDE w:val="0"/>
        <w:autoSpaceDN w:val="0"/>
        <w:adjustRightInd w:val="0"/>
        <w:spacing w:line="400" w:lineRule="atLeast"/>
        <w:ind w:right="306"/>
        <w:jc w:val="left"/>
        <w:rPr>
          <w:rFonts w:ascii="Times New Roman" w:hAnsi="Times New Roman" w:eastAsia="黑体" w:cs="Times New Roman"/>
          <w:b/>
          <w:kern w:val="0"/>
        </w:rPr>
      </w:pPr>
      <w:r>
        <w:rPr>
          <w:rFonts w:ascii="Times New Roman" w:hAnsi="Times New Roman" w:eastAsia="黑体" w:cs="Times New Roman"/>
          <w:b/>
          <w:kern w:val="0"/>
        </w:rPr>
        <w:t>CCS</w:t>
      </w:r>
      <w:r>
        <w:rPr>
          <w:rFonts w:hint="eastAsia" w:ascii="Times New Roman" w:hAnsi="Times New Roman" w:eastAsia="黑体" w:cs="Times New Roman"/>
          <w:b/>
          <w:kern w:val="0"/>
        </w:rPr>
        <w:t xml:space="preserve"> </w:t>
      </w:r>
      <w:r>
        <w:rPr>
          <w:rFonts w:ascii="Times New Roman" w:hAnsi="Times New Roman" w:eastAsia="黑体" w:cs="Times New Roman"/>
          <w:b/>
          <w:kern w:val="0"/>
        </w:rPr>
        <w:t>A</w:t>
      </w:r>
      <w:r>
        <w:rPr>
          <w:rFonts w:hint="eastAsia" w:ascii="Times New Roman" w:hAnsi="Times New Roman" w:eastAsia="黑体" w:cs="Times New Roman"/>
          <w:b/>
          <w:kern w:val="0"/>
        </w:rPr>
        <w:t xml:space="preserve"> </w:t>
      </w:r>
      <w:r>
        <w:rPr>
          <w:rFonts w:ascii="Times New Roman" w:hAnsi="Times New Roman" w:eastAsia="黑体" w:cs="Times New Roman"/>
          <w:b/>
          <w:kern w:val="0"/>
        </w:rPr>
        <w:t>40</w:t>
      </w:r>
    </w:p>
    <w:p w14:paraId="51B7AA96">
      <w:pPr>
        <w:autoSpaceDE w:val="0"/>
        <w:autoSpaceDN w:val="0"/>
        <w:adjustRightInd w:val="0"/>
        <w:spacing w:line="400" w:lineRule="atLeast"/>
        <w:jc w:val="center"/>
        <w:rPr>
          <w:rFonts w:ascii="Times New Roman" w:hAnsi="Times New Roman" w:cs="Times New Roman"/>
          <w:b/>
          <w:spacing w:val="106"/>
          <w:w w:val="120"/>
          <w:kern w:val="0"/>
          <w:sz w:val="52"/>
        </w:rPr>
      </w:pPr>
    </w:p>
    <w:p w14:paraId="33AF4C07">
      <w:pPr>
        <w:autoSpaceDE w:val="0"/>
        <w:autoSpaceDN w:val="0"/>
        <w:adjustRightInd w:val="0"/>
        <w:spacing w:line="400" w:lineRule="atLeast"/>
        <w:jc w:val="center"/>
        <w:rPr>
          <w:rFonts w:ascii="黑体" w:hAnsi="黑体" w:eastAsia="黑体" w:cs="黑体"/>
          <w:bCs/>
          <w:spacing w:val="106"/>
          <w:w w:val="120"/>
          <w:kern w:val="0"/>
          <w:sz w:val="72"/>
          <w:szCs w:val="72"/>
        </w:rPr>
      </w:pPr>
      <w:r>
        <w:rPr>
          <w:rFonts w:hint="eastAsia" w:ascii="Times New Roman" w:hAnsi="Times New Roman" w:eastAsia="黑体" w:cs="Times New Roman"/>
          <w:sz w:val="72"/>
          <w:szCs w:val="72"/>
        </w:rPr>
        <w:t>团</w:t>
      </w:r>
      <w:r>
        <w:rPr>
          <w:rFonts w:ascii="Times New Roman" w:hAnsi="Times New Roman" w:eastAsia="黑体"/>
          <w:sz w:val="72"/>
          <w:szCs w:val="72"/>
        </w:rPr>
        <w:t> </w:t>
      </w:r>
      <w:r>
        <w:rPr>
          <w:rFonts w:hint="eastAsia" w:ascii="Times New Roman" w:hAnsi="Times New Roman" w:eastAsia="黑体" w:cs="Times New Roman"/>
          <w:sz w:val="72"/>
          <w:szCs w:val="72"/>
        </w:rPr>
        <w:t>体</w:t>
      </w:r>
      <w:r>
        <w:rPr>
          <w:rFonts w:ascii="Times New Roman" w:hAnsi="Times New Roman" w:eastAsia="黑体"/>
          <w:sz w:val="72"/>
          <w:szCs w:val="72"/>
        </w:rPr>
        <w:t> </w:t>
      </w:r>
      <w:r>
        <w:rPr>
          <w:rFonts w:hint="eastAsia" w:ascii="Times New Roman" w:hAnsi="Times New Roman" w:eastAsia="黑体" w:cs="Times New Roman"/>
          <w:sz w:val="72"/>
          <w:szCs w:val="72"/>
        </w:rPr>
        <w:t>标</w:t>
      </w:r>
      <w:r>
        <w:rPr>
          <w:rFonts w:ascii="Times New Roman" w:hAnsi="Times New Roman" w:eastAsia="黑体"/>
          <w:sz w:val="72"/>
          <w:szCs w:val="72"/>
        </w:rPr>
        <w:t> </w:t>
      </w:r>
      <w:r>
        <w:rPr>
          <w:rFonts w:hint="eastAsia" w:ascii="Times New Roman" w:hAnsi="Times New Roman" w:eastAsia="黑体" w:cs="Times New Roman"/>
          <w:sz w:val="72"/>
          <w:szCs w:val="72"/>
        </w:rPr>
        <w:t>准</w:t>
      </w:r>
    </w:p>
    <w:p w14:paraId="4E7B315E">
      <w:pPr>
        <w:autoSpaceDE w:val="0"/>
        <w:autoSpaceDN w:val="0"/>
        <w:adjustRightInd w:val="0"/>
        <w:spacing w:line="400" w:lineRule="atLeast"/>
        <w:ind w:left="4164" w:leftChars="1983" w:right="306" w:firstLine="2249" w:firstLineChars="800"/>
        <w:rPr>
          <w:rFonts w:ascii="Times New Roman" w:hAnsi="Times New Roman" w:eastAsia="黑体" w:cs="Times New Roman"/>
          <w:b/>
          <w:kern w:val="0"/>
          <w:sz w:val="28"/>
        </w:rPr>
      </w:pPr>
    </w:p>
    <w:p w14:paraId="630F4AFB">
      <w:pPr>
        <w:adjustRightInd w:val="0"/>
        <w:jc w:val="right"/>
        <w:rPr>
          <w:rFonts w:ascii="Times New Roman" w:hAnsi="Times New Roman" w:eastAsia="宋体" w:cs="Times New Roman"/>
          <w:b/>
          <w:sz w:val="28"/>
          <w:szCs w:val="28"/>
        </w:rPr>
      </w:pPr>
      <w:r>
        <w:rPr>
          <w:rFonts w:ascii="Times New Roman" w:hAnsi="Times New Roman" w:eastAsia="宋体" w:cs="Times New Roman"/>
          <w:b/>
          <w:sz w:val="28"/>
          <w:szCs w:val="28"/>
        </w:rPr>
        <w:t xml:space="preserve">T/CHES </w:t>
      </w:r>
      <w:r>
        <w:rPr>
          <w:rFonts w:hint="eastAsia" w:ascii="Times New Roman" w:hAnsi="Times New Roman" w:eastAsia="宋体" w:cs="Times New Roman"/>
          <w:b/>
          <w:sz w:val="28"/>
          <w:szCs w:val="28"/>
        </w:rPr>
        <w:t>XXXX</w:t>
      </w:r>
      <w:r>
        <w:rPr>
          <w:rFonts w:ascii="Times New Roman" w:hAnsi="Times New Roman" w:eastAsia="宋体" w:cs="Times New Roman"/>
          <w:b/>
          <w:sz w:val="28"/>
          <w:szCs w:val="28"/>
        </w:rPr>
        <w:t>-</w:t>
      </w:r>
      <w:r>
        <w:rPr>
          <w:rFonts w:hint="eastAsia" w:ascii="Times New Roman" w:hAnsi="Times New Roman" w:eastAsia="宋体" w:cs="Times New Roman"/>
          <w:b/>
          <w:sz w:val="28"/>
          <w:szCs w:val="28"/>
        </w:rPr>
        <w:t>20XX</w:t>
      </w:r>
    </w:p>
    <w:p w14:paraId="6CE200C3">
      <w:pPr>
        <w:adjustRightInd w:val="0"/>
        <w:rPr>
          <w:rFonts w:ascii="Times New Roman" w:hAnsi="Times New Roman" w:eastAsia="黑体" w:cs="Times New Roman"/>
          <w:szCs w:val="21"/>
        </w:rPr>
      </w:pPr>
      <w:r>
        <w:rPr>
          <w:rFonts w:ascii="Times New Roman" w:hAnsi="Times New Roman" w:eastAsia="黑体" w:cs="Times New Roman"/>
          <w:szCs w:val="21"/>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89535</wp:posOffset>
                </wp:positionV>
                <wp:extent cx="5375275" cy="24130"/>
                <wp:effectExtent l="0" t="4445" r="15875" b="9525"/>
                <wp:wrapNone/>
                <wp:docPr id="5" name="直线 2"/>
                <wp:cNvGraphicFramePr/>
                <a:graphic xmlns:a="http://schemas.openxmlformats.org/drawingml/2006/main">
                  <a:graphicData uri="http://schemas.microsoft.com/office/word/2010/wordprocessingShape">
                    <wps:wsp>
                      <wps:cNvCnPr/>
                      <wps:spPr>
                        <a:xfrm flipV="1">
                          <a:off x="0" y="0"/>
                          <a:ext cx="5375275" cy="2413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flip:y;margin-left:-0.2pt;margin-top:7.05pt;height:1.9pt;width:423.25pt;mso-position-horizontal-relative:margin;z-index:251659264;mso-width-relative:page;mso-height-relative:page;" filled="f" stroked="t" coordsize="21600,21600" o:gfxdata="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Bo7HtPU&#10;AAAABwEAAA8AAAAAAAAAAQAgAAAAIgAAAGRycy9kb3ducmV2LnhtbFBLAQIUABQAAAAIAIdO4kCo&#10;psu06wEAAN0DAAAOAAAAAAAAAAEAIAAAACMBAABkcnMvZTJvRG9jLnhtbFBLBQYAAAAABgAGAFkB&#10;AACABQAAAAA=&#10;">
                <v:fill on="f" focussize="0,0"/>
                <v:stroke color="#000000" joinstyle="round"/>
                <v:imagedata o:title=""/>
                <o:lock v:ext="edit" aspectratio="f"/>
              </v:line>
            </w:pict>
          </mc:Fallback>
        </mc:AlternateContent>
      </w:r>
    </w:p>
    <w:p w14:paraId="50DC5E7B">
      <w:pPr>
        <w:adjustRightInd w:val="0"/>
        <w:rPr>
          <w:rFonts w:ascii="Times New Roman" w:hAnsi="Times New Roman" w:eastAsia="黑体" w:cs="Times New Roman"/>
          <w:szCs w:val="21"/>
        </w:rPr>
      </w:pPr>
    </w:p>
    <w:p w14:paraId="4F0553BD">
      <w:pPr>
        <w:adjustRightInd w:val="0"/>
        <w:rPr>
          <w:rFonts w:ascii="Times New Roman" w:hAnsi="Times New Roman" w:eastAsia="黑体" w:cs="Times New Roman"/>
          <w:szCs w:val="21"/>
        </w:rPr>
      </w:pPr>
    </w:p>
    <w:p w14:paraId="2F0510ED">
      <w:pPr>
        <w:adjustRightInd w:val="0"/>
        <w:rPr>
          <w:rFonts w:ascii="Times New Roman" w:hAnsi="Times New Roman" w:eastAsia="黑体" w:cs="Times New Roman"/>
          <w:szCs w:val="21"/>
        </w:rPr>
      </w:pPr>
    </w:p>
    <w:p w14:paraId="5D38919F">
      <w:pPr>
        <w:adjustRightInd w:val="0"/>
        <w:rPr>
          <w:rFonts w:ascii="Times New Roman" w:hAnsi="Times New Roman" w:eastAsia="黑体" w:cs="Times New Roman"/>
          <w:szCs w:val="21"/>
        </w:rPr>
      </w:pPr>
    </w:p>
    <w:p w14:paraId="589F8EC7">
      <w:pPr>
        <w:adjustRightInd w:val="0"/>
        <w:jc w:val="center"/>
        <w:rPr>
          <w:rFonts w:ascii="Times New Roman" w:hAnsi="Times New Roman" w:eastAsia="黑体" w:cs="Times New Roman"/>
          <w:sz w:val="48"/>
          <w:szCs w:val="48"/>
        </w:rPr>
      </w:pPr>
      <w:bookmarkStart w:id="268" w:name="_GoBack"/>
      <w:r>
        <w:rPr>
          <w:rFonts w:hint="eastAsia" w:ascii="Times New Roman" w:hAnsi="Times New Roman" w:eastAsia="黑体" w:cs="Times New Roman"/>
          <w:sz w:val="48"/>
          <w:szCs w:val="48"/>
        </w:rPr>
        <w:t>基于北斗卫星的水利工程变形监测</w:t>
      </w:r>
    </w:p>
    <w:p w14:paraId="0BE236AF">
      <w:pPr>
        <w:adjustRightInd w:val="0"/>
        <w:jc w:val="center"/>
        <w:rPr>
          <w:rFonts w:ascii="Times New Roman" w:hAnsi="Times New Roman" w:eastAsia="黑体" w:cs="Times New Roman"/>
          <w:sz w:val="48"/>
          <w:szCs w:val="48"/>
        </w:rPr>
      </w:pPr>
      <w:r>
        <w:rPr>
          <w:rFonts w:hint="eastAsia" w:ascii="Times New Roman" w:hAnsi="Times New Roman" w:eastAsia="黑体" w:cs="Times New Roman"/>
          <w:sz w:val="48"/>
          <w:szCs w:val="48"/>
        </w:rPr>
        <w:t>系统技术要求</w:t>
      </w:r>
    </w:p>
    <w:bookmarkEnd w:id="268"/>
    <w:p w14:paraId="56781062">
      <w:pPr>
        <w:adjustRightInd w:val="0"/>
        <w:jc w:val="center"/>
        <w:rPr>
          <w:rFonts w:ascii="Times New Roman" w:hAnsi="Times New Roman" w:eastAsia="黑体" w:cs="Times New Roman"/>
          <w:szCs w:val="21"/>
        </w:rPr>
      </w:pPr>
    </w:p>
    <w:p w14:paraId="2C58054E">
      <w:pPr>
        <w:adjustRightInd w:val="0"/>
        <w:jc w:val="center"/>
        <w:rPr>
          <w:rFonts w:ascii="Times New Roman" w:hAnsi="Times New Roman" w:eastAsia="黑体" w:cs="Times New Roman"/>
          <w:sz w:val="28"/>
          <w:szCs w:val="28"/>
        </w:rPr>
      </w:pPr>
      <w:r>
        <w:rPr>
          <w:rFonts w:ascii="Times New Roman" w:hAnsi="Times New Roman" w:eastAsia="黑体" w:cs="Times New Roman"/>
          <w:sz w:val="28"/>
          <w:szCs w:val="28"/>
        </w:rPr>
        <w:t>Technical requirements for deformation monitoring system of water conservancy and hydropower project based on Beidou navigation system</w:t>
      </w:r>
    </w:p>
    <w:p w14:paraId="79D65DD6">
      <w:pPr>
        <w:adjustRightInd w:val="0"/>
        <w:spacing w:line="400" w:lineRule="exact"/>
        <w:jc w:val="center"/>
        <w:rPr>
          <w:rFonts w:ascii="Times New Roman" w:hAnsi="Times New Roman" w:eastAsia="宋体" w:cs="Times New Roman"/>
          <w:sz w:val="28"/>
          <w:szCs w:val="28"/>
        </w:rPr>
      </w:pPr>
      <w:r>
        <w:rPr>
          <w:rFonts w:hint="eastAsia" w:ascii="Times New Roman" w:hAnsi="Times New Roman" w:eastAsia="宋体" w:cs="Times New Roman"/>
          <w:sz w:val="28"/>
          <w:szCs w:val="28"/>
        </w:rPr>
        <w:t>(征求意见稿)</w:t>
      </w:r>
    </w:p>
    <w:p w14:paraId="4E1806E5">
      <w:pPr>
        <w:adjustRightInd w:val="0"/>
        <w:spacing w:line="400" w:lineRule="exact"/>
        <w:jc w:val="left"/>
      </w:pPr>
    </w:p>
    <w:p w14:paraId="6245E214">
      <w:pPr>
        <w:spacing w:line="600" w:lineRule="auto"/>
        <w:jc w:val="center"/>
        <w:rPr>
          <w:rFonts w:ascii="Times New Roman" w:hAnsi="Times New Roman" w:eastAsia="宋体" w:cs="Times New Roman"/>
          <w:sz w:val="28"/>
          <w:szCs w:val="28"/>
        </w:rPr>
      </w:pPr>
      <w:r>
        <w:rPr>
          <w:rFonts w:hint="eastAsia" w:ascii="宋体" w:hAnsi="宋体" w:cs="仿宋_GB2312"/>
          <w:sz w:val="28"/>
          <w:szCs w:val="28"/>
          <w:lang w:bidi="ar"/>
        </w:rPr>
        <w:t>请将你们发现的有关专利的内容和支持性文件随意见一并返回</w:t>
      </w:r>
    </w:p>
    <w:p w14:paraId="66180A79">
      <w:pPr>
        <w:pStyle w:val="2"/>
        <w:ind w:left="0" w:leftChars="0" w:firstLine="0" w:firstLineChars="0"/>
        <w:rPr>
          <w:rFonts w:eastAsiaTheme="minorEastAsia"/>
          <w:b/>
          <w:kern w:val="0"/>
          <w:sz w:val="36"/>
        </w:rPr>
      </w:pPr>
    </w:p>
    <w:p w14:paraId="7B478151">
      <w:pPr>
        <w:pStyle w:val="2"/>
        <w:ind w:left="0" w:leftChars="0" w:firstLine="0" w:firstLineChars="0"/>
        <w:rPr>
          <w:rFonts w:eastAsiaTheme="minorEastAsia"/>
          <w:b/>
          <w:kern w:val="0"/>
          <w:sz w:val="36"/>
        </w:rPr>
      </w:pPr>
    </w:p>
    <w:p w14:paraId="5925C94E">
      <w:pPr>
        <w:pStyle w:val="2"/>
        <w:ind w:left="0" w:leftChars="0" w:firstLine="0" w:firstLineChars="0"/>
        <w:rPr>
          <w:rFonts w:eastAsia="Times New Roman"/>
          <w:b/>
          <w:kern w:val="0"/>
          <w:sz w:val="36"/>
        </w:rPr>
      </w:pPr>
    </w:p>
    <w:p w14:paraId="6D5BAE81">
      <w:pPr>
        <w:tabs>
          <w:tab w:val="right" w:pos="7920"/>
        </w:tabs>
        <w:adjustRightInd w:val="0"/>
        <w:spacing w:line="400" w:lineRule="exact"/>
        <w:rPr>
          <w:rFonts w:ascii="Times New Roman" w:hAnsi="Times New Roman" w:eastAsia="宋体" w:cs="Times New Roman"/>
          <w:sz w:val="28"/>
          <w:szCs w:val="28"/>
        </w:rPr>
      </w:pPr>
      <w:r>
        <w:rPr>
          <w:rFonts w:hint="eastAsia" w:ascii="Times New Roman" w:hAnsi="Times New Roman" w:eastAsia="宋体" w:cs="Times New Roman"/>
          <w:sz w:val="28"/>
          <w:szCs w:val="28"/>
        </w:rPr>
        <w:t>20XX-XX-XX</w:t>
      </w:r>
      <w:r>
        <w:rPr>
          <w:rFonts w:ascii="Times New Roman" w:hAnsi="Times New Roman" w:eastAsia="宋体" w:cs="Times New Roman"/>
          <w:sz w:val="28"/>
          <w:szCs w:val="28"/>
        </w:rPr>
        <w:t xml:space="preserve">发布 </w:t>
      </w:r>
      <w:r>
        <w:rPr>
          <w:rFonts w:hint="eastAsia" w:ascii="Times New Roman" w:hAnsi="Times New Roman" w:eastAsia="宋体" w:cs="Times New Roman"/>
          <w:sz w:val="28"/>
          <w:szCs w:val="28"/>
        </w:rPr>
        <w:t xml:space="preserve">                      </w:t>
      </w:r>
      <w:r>
        <w:rPr>
          <w:rFonts w:ascii="Times New Roman" w:hAnsi="Times New Roman" w:eastAsia="宋体" w:cs="Times New Roman"/>
          <w:sz w:val="28"/>
          <w:szCs w:val="28"/>
        </w:rPr>
        <w:t xml:space="preserve">  </w:t>
      </w:r>
      <w:r>
        <w:rPr>
          <w:rFonts w:hint="eastAsia" w:ascii="Times New Roman" w:hAnsi="Times New Roman" w:eastAsia="宋体" w:cs="Times New Roman"/>
          <w:sz w:val="28"/>
          <w:szCs w:val="28"/>
        </w:rPr>
        <w:t>20XX</w:t>
      </w:r>
      <w:r>
        <w:rPr>
          <w:rFonts w:ascii="Times New Roman" w:hAnsi="Times New Roman" w:eastAsia="宋体" w:cs="Times New Roman"/>
          <w:sz w:val="28"/>
          <w:szCs w:val="28"/>
        </w:rPr>
        <w:t>-</w:t>
      </w:r>
      <w:r>
        <w:rPr>
          <w:rFonts w:hint="eastAsia" w:ascii="Times New Roman" w:hAnsi="Times New Roman" w:eastAsia="宋体" w:cs="Times New Roman"/>
          <w:sz w:val="28"/>
          <w:szCs w:val="28"/>
        </w:rPr>
        <w:t>XX</w:t>
      </w:r>
      <w:r>
        <w:rPr>
          <w:rFonts w:ascii="Times New Roman" w:hAnsi="Times New Roman" w:eastAsia="宋体" w:cs="Times New Roman"/>
          <w:sz w:val="28"/>
          <w:szCs w:val="28"/>
        </w:rPr>
        <w:t>-</w:t>
      </w:r>
      <w:r>
        <w:rPr>
          <w:rFonts w:hint="eastAsia" w:ascii="Times New Roman" w:hAnsi="Times New Roman" w:eastAsia="宋体" w:cs="Times New Roman"/>
          <w:sz w:val="28"/>
          <w:szCs w:val="28"/>
        </w:rPr>
        <w:t>XX</w:t>
      </w:r>
      <w:r>
        <w:rPr>
          <w:rFonts w:ascii="Times New Roman" w:hAnsi="Times New Roman" w:eastAsia="宋体" w:cs="Times New Roman"/>
          <w:sz w:val="28"/>
          <w:szCs w:val="28"/>
        </w:rPr>
        <w:t>实施</w:t>
      </w:r>
    </w:p>
    <w:p w14:paraId="51053674">
      <w:pPr>
        <w:adjustRightInd w:val="0"/>
        <w:spacing w:line="400" w:lineRule="exact"/>
        <w:jc w:val="center"/>
      </w:pPr>
      <w:r>
        <w:rPr>
          <w:rFonts w:ascii="Times New Roman" w:hAnsi="Times New Roman" w:eastAsia="宋体" w:cs="Times New Roman"/>
          <w:sz w:val="28"/>
          <w:szCs w:val="28"/>
        </w:rPr>
        <mc:AlternateContent>
          <mc:Choice Requires="wps">
            <w:drawing>
              <wp:anchor distT="0" distB="0" distL="114300" distR="114300" simplePos="0" relativeHeight="251660288" behindDoc="0" locked="0" layoutInCell="1" allowOverlap="1">
                <wp:simplePos x="0" y="0"/>
                <wp:positionH relativeFrom="margin">
                  <wp:posOffset>-1270</wp:posOffset>
                </wp:positionH>
                <wp:positionV relativeFrom="paragraph">
                  <wp:posOffset>140335</wp:posOffset>
                </wp:positionV>
                <wp:extent cx="5155565" cy="20955"/>
                <wp:effectExtent l="0" t="4445" r="6985" b="12700"/>
                <wp:wrapNone/>
                <wp:docPr id="6" name="直线 2"/>
                <wp:cNvGraphicFramePr/>
                <a:graphic xmlns:a="http://schemas.openxmlformats.org/drawingml/2006/main">
                  <a:graphicData uri="http://schemas.microsoft.com/office/word/2010/wordprocessingShape">
                    <wps:wsp>
                      <wps:cNvCnPr/>
                      <wps:spPr>
                        <a:xfrm>
                          <a:off x="0" y="0"/>
                          <a:ext cx="5155565" cy="209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0.1pt;margin-top:11.05pt;height:1.65pt;width:405.95pt;mso-position-horizontal-relative:margin;z-index:251660288;mso-width-relative:page;mso-height-relative:page;" filled="f" stroked="t" coordsize="21600,21600" o:gfxdata="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a0Qm/1AAAAAcBAAAPAAAA&#10;AAAAAAEAIAAAACIAAABkcnMvZG93bnJldi54bWxQSwECFAAUAAAACACHTuJAZwe9veABAADTAwAA&#10;DgAAAAAAAAABACAAAAAjAQAAZHJzL2Uyb0RvYy54bWxQSwUGAAAAAAYABgBZAQAAdQUAAAAA&#10;">
                <v:fill on="f" focussize="0,0"/>
                <v:stroke color="#000000" joinstyle="round"/>
                <v:imagedata o:title=""/>
                <o:lock v:ext="edit" aspectratio="f"/>
              </v:line>
            </w:pict>
          </mc:Fallback>
        </mc:AlternateContent>
      </w:r>
    </w:p>
    <w:p w14:paraId="7FD6E360">
      <w:pPr>
        <w:jc w:val="center"/>
        <w:rPr>
          <w:rFonts w:ascii="Times New Roman" w:hAnsi="Times New Roman" w:cs="Times New Roman" w:eastAsiaTheme="majorEastAsia"/>
          <w:sz w:val="36"/>
          <w:szCs w:val="36"/>
        </w:rPr>
      </w:pPr>
      <w:r>
        <w:rPr>
          <w:rFonts w:hint="eastAsia" w:asciiTheme="majorEastAsia" w:hAnsiTheme="majorEastAsia" w:eastAsiaTheme="majorEastAsia" w:cstheme="majorEastAsia"/>
          <w:b/>
          <w:sz w:val="32"/>
          <w:szCs w:val="32"/>
        </w:rPr>
        <w:t>中国水利学会</w:t>
      </w:r>
      <w:r>
        <w:rPr>
          <w:rFonts w:hint="eastAsia" w:asciiTheme="majorEastAsia" w:hAnsiTheme="majorEastAsia" w:eastAsiaTheme="majorEastAsia"/>
          <w:b/>
          <w:sz w:val="36"/>
          <w:szCs w:val="36"/>
        </w:rPr>
        <w:t xml:space="preserve"> </w:t>
      </w:r>
      <w:r>
        <w:rPr>
          <w:rFonts w:asciiTheme="majorEastAsia" w:hAnsiTheme="majorEastAsia" w:eastAsiaTheme="majorEastAsia"/>
          <w:b/>
          <w:sz w:val="36"/>
          <w:szCs w:val="36"/>
        </w:rPr>
        <w:t xml:space="preserve"> </w:t>
      </w:r>
      <w:r>
        <w:rPr>
          <w:rFonts w:hint="eastAsia" w:ascii="黑体" w:hAnsi="黑体" w:eastAsia="黑体" w:cs="黑体"/>
          <w:b/>
          <w:sz w:val="28"/>
          <w:szCs w:val="28"/>
        </w:rPr>
        <w:t>发 布</w:t>
      </w:r>
    </w:p>
    <w:p w14:paraId="29B4C3DE">
      <w:pPr>
        <w:rPr>
          <w:rFonts w:ascii="Times New Roman" w:hAnsi="Times New Roman" w:cs="Times New Roman" w:eastAsiaTheme="majorEastAsia"/>
          <w:sz w:val="36"/>
          <w:szCs w:val="36"/>
        </w:rPr>
        <w:sectPr>
          <w:footerReference r:id="rId3" w:type="default"/>
          <w:pgSz w:w="11906" w:h="16838"/>
          <w:pgMar w:top="1440" w:right="1803" w:bottom="1440" w:left="1803" w:header="851" w:footer="992" w:gutter="0"/>
          <w:cols w:space="425" w:num="1"/>
          <w:docGrid w:type="lines" w:linePitch="312" w:charSpace="0"/>
        </w:sectPr>
      </w:pPr>
    </w:p>
    <w:p w14:paraId="4AFB8702">
      <w:pPr>
        <w:spacing w:after="312" w:afterLines="100"/>
        <w:rPr>
          <w:rFonts w:ascii="Times New Roman" w:hAnsi="Times New Roman" w:cs="Times New Roman" w:eastAsiaTheme="majorEastAsia"/>
          <w:b/>
          <w:sz w:val="36"/>
          <w:szCs w:val="36"/>
        </w:rPr>
        <w:sectPr>
          <w:footerReference r:id="rId4" w:type="default"/>
          <w:pgSz w:w="11906" w:h="16838"/>
          <w:pgMar w:top="1440" w:right="1800" w:bottom="1440" w:left="1800" w:header="851" w:footer="992" w:gutter="0"/>
          <w:cols w:space="425" w:num="1"/>
          <w:docGrid w:type="lines" w:linePitch="312" w:charSpace="0"/>
        </w:sectPr>
      </w:pPr>
    </w:p>
    <w:p w14:paraId="4C2F35D5">
      <w:pPr>
        <w:spacing w:after="312" w:afterLines="100"/>
        <w:jc w:val="center"/>
        <w:rPr>
          <w:rFonts w:ascii="Times New Roman" w:hAnsi="Times New Roman" w:cs="Times New Roman" w:eastAsiaTheme="majorEastAsia"/>
          <w:b/>
          <w:sz w:val="36"/>
          <w:szCs w:val="36"/>
        </w:rPr>
      </w:pPr>
    </w:p>
    <w:sdt>
      <w:sdtPr>
        <w:rPr>
          <w:rFonts w:ascii="Times New Roman" w:hAnsi="Times New Roman" w:cs="Times New Roman" w:eastAsiaTheme="minorEastAsia"/>
          <w:color w:val="auto"/>
          <w:kern w:val="2"/>
          <w:sz w:val="21"/>
          <w:szCs w:val="22"/>
          <w:lang w:val="zh-CN"/>
        </w:rPr>
        <w:id w:val="-986471787"/>
        <w:docPartObj>
          <w:docPartGallery w:val="Table of Contents"/>
          <w:docPartUnique/>
        </w:docPartObj>
      </w:sdtPr>
      <w:sdtEndPr>
        <w:rPr>
          <w:rFonts w:ascii="Times New Roman" w:hAnsi="Times New Roman" w:cs="Times New Roman" w:eastAsiaTheme="minorEastAsia"/>
          <w:b/>
          <w:bCs/>
          <w:color w:val="auto"/>
          <w:kern w:val="2"/>
          <w:sz w:val="21"/>
          <w:szCs w:val="22"/>
          <w:lang w:val="zh-CN"/>
        </w:rPr>
      </w:sdtEndPr>
      <w:sdtContent>
        <w:p w14:paraId="761A6174">
          <w:pPr>
            <w:pStyle w:val="23"/>
            <w:jc w:val="center"/>
            <w:rPr>
              <w:rFonts w:ascii="黑体" w:hAnsi="黑体" w:eastAsia="黑体" w:cs="Times New Roman"/>
              <w:color w:val="auto"/>
            </w:rPr>
          </w:pPr>
          <w:r>
            <w:rPr>
              <w:rFonts w:ascii="黑体" w:hAnsi="黑体" w:eastAsia="黑体" w:cs="Times New Roman"/>
              <w:color w:val="auto"/>
              <w:lang w:val="zh-CN"/>
            </w:rPr>
            <w:t>目  次</w:t>
          </w:r>
        </w:p>
        <w:p w14:paraId="464532A8">
          <w:pPr>
            <w:pStyle w:val="13"/>
            <w:tabs>
              <w:tab w:val="right" w:leader="dot" w:pos="8296"/>
            </w:tabs>
            <w:rPr>
              <w:rFonts w:asciiTheme="minorEastAsia" w:hAnsiTheme="minorEastAsia"/>
            </w:rPr>
          </w:pPr>
          <w:r>
            <w:rPr>
              <w:rFonts w:cs="Times New Roman" w:asciiTheme="minorEastAsia" w:hAnsiTheme="minorEastAsia"/>
              <w:szCs w:val="21"/>
            </w:rPr>
            <w:fldChar w:fldCharType="begin"/>
          </w:r>
          <w:r>
            <w:rPr>
              <w:rFonts w:cs="Times New Roman" w:asciiTheme="minorEastAsia" w:hAnsiTheme="minorEastAsia"/>
              <w:szCs w:val="21"/>
            </w:rPr>
            <w:instrText xml:space="preserve"> TOC \o "1-3" \h \z \u </w:instrText>
          </w:r>
          <w:r>
            <w:rPr>
              <w:rFonts w:cs="Times New Roman" w:asciiTheme="minorEastAsia" w:hAnsiTheme="minorEastAsia"/>
              <w:szCs w:val="21"/>
            </w:rPr>
            <w:fldChar w:fldCharType="separate"/>
          </w:r>
          <w:r>
            <w:fldChar w:fldCharType="begin"/>
          </w:r>
          <w:r>
            <w:instrText xml:space="preserve"> HYPERLINK \l "_Toc187827460" </w:instrText>
          </w:r>
          <w:r>
            <w:fldChar w:fldCharType="separate"/>
          </w:r>
          <w:r>
            <w:rPr>
              <w:rStyle w:val="18"/>
              <w:rFonts w:cs="Times New Roman" w:asciiTheme="minorEastAsia" w:hAnsiTheme="minorEastAsia"/>
              <w:color w:val="auto"/>
            </w:rPr>
            <w:t xml:space="preserve">1  </w:t>
          </w:r>
          <w:r>
            <w:rPr>
              <w:rStyle w:val="18"/>
              <w:rFonts w:hint="eastAsia" w:cs="Times New Roman" w:asciiTheme="minorEastAsia" w:hAnsiTheme="minorEastAsia"/>
              <w:color w:val="auto"/>
            </w:rPr>
            <w:t>范围</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_Toc187827460 \h </w:instrText>
          </w:r>
          <w:r>
            <w:rPr>
              <w:rFonts w:asciiTheme="minorEastAsia" w:hAnsiTheme="minorEastAsia"/>
            </w:rPr>
            <w:fldChar w:fldCharType="separate"/>
          </w:r>
          <w:r>
            <w:rPr>
              <w:rFonts w:asciiTheme="minorEastAsia" w:hAnsiTheme="minorEastAsia"/>
            </w:rPr>
            <w:t>1</w:t>
          </w:r>
          <w:r>
            <w:rPr>
              <w:rFonts w:asciiTheme="minorEastAsia" w:hAnsiTheme="minorEastAsia"/>
            </w:rPr>
            <w:fldChar w:fldCharType="end"/>
          </w:r>
          <w:r>
            <w:rPr>
              <w:rFonts w:asciiTheme="minorEastAsia" w:hAnsiTheme="minorEastAsia"/>
            </w:rPr>
            <w:fldChar w:fldCharType="end"/>
          </w:r>
        </w:p>
        <w:p w14:paraId="222F2D67">
          <w:pPr>
            <w:pStyle w:val="13"/>
            <w:tabs>
              <w:tab w:val="right" w:leader="dot" w:pos="8296"/>
            </w:tabs>
            <w:rPr>
              <w:rFonts w:asciiTheme="minorEastAsia" w:hAnsiTheme="minorEastAsia"/>
            </w:rPr>
          </w:pPr>
          <w:r>
            <w:fldChar w:fldCharType="begin"/>
          </w:r>
          <w:r>
            <w:instrText xml:space="preserve"> HYPERLINK \l "_Toc187827461" </w:instrText>
          </w:r>
          <w:r>
            <w:fldChar w:fldCharType="separate"/>
          </w:r>
          <w:r>
            <w:rPr>
              <w:rStyle w:val="18"/>
              <w:rFonts w:cs="Times New Roman" w:asciiTheme="minorEastAsia" w:hAnsiTheme="minorEastAsia"/>
              <w:color w:val="auto"/>
            </w:rPr>
            <w:t xml:space="preserve">2  </w:t>
          </w:r>
          <w:r>
            <w:rPr>
              <w:rStyle w:val="18"/>
              <w:rFonts w:hint="eastAsia" w:cs="Times New Roman" w:asciiTheme="minorEastAsia" w:hAnsiTheme="minorEastAsia"/>
              <w:color w:val="auto"/>
            </w:rPr>
            <w:t>规范性引用文件</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_Toc187827461 \h </w:instrText>
          </w:r>
          <w:r>
            <w:rPr>
              <w:rFonts w:asciiTheme="minorEastAsia" w:hAnsiTheme="minorEastAsia"/>
            </w:rPr>
            <w:fldChar w:fldCharType="separate"/>
          </w:r>
          <w:r>
            <w:rPr>
              <w:rFonts w:asciiTheme="minorEastAsia" w:hAnsiTheme="minorEastAsia"/>
            </w:rPr>
            <w:t>1</w:t>
          </w:r>
          <w:r>
            <w:rPr>
              <w:rFonts w:asciiTheme="minorEastAsia" w:hAnsiTheme="minorEastAsia"/>
            </w:rPr>
            <w:fldChar w:fldCharType="end"/>
          </w:r>
          <w:r>
            <w:rPr>
              <w:rFonts w:asciiTheme="minorEastAsia" w:hAnsiTheme="minorEastAsia"/>
            </w:rPr>
            <w:fldChar w:fldCharType="end"/>
          </w:r>
        </w:p>
        <w:p w14:paraId="46896390">
          <w:pPr>
            <w:pStyle w:val="13"/>
            <w:tabs>
              <w:tab w:val="right" w:leader="dot" w:pos="8296"/>
            </w:tabs>
            <w:rPr>
              <w:rFonts w:asciiTheme="minorEastAsia" w:hAnsiTheme="minorEastAsia"/>
            </w:rPr>
          </w:pPr>
          <w:r>
            <w:fldChar w:fldCharType="begin"/>
          </w:r>
          <w:r>
            <w:instrText xml:space="preserve"> HYPERLINK \l "_Toc187827462" </w:instrText>
          </w:r>
          <w:r>
            <w:fldChar w:fldCharType="separate"/>
          </w:r>
          <w:r>
            <w:rPr>
              <w:rStyle w:val="18"/>
              <w:rFonts w:cs="Times New Roman" w:asciiTheme="minorEastAsia" w:hAnsiTheme="minorEastAsia"/>
              <w:color w:val="auto"/>
            </w:rPr>
            <w:t xml:space="preserve">3  </w:t>
          </w:r>
          <w:r>
            <w:rPr>
              <w:rStyle w:val="18"/>
              <w:rFonts w:hint="eastAsia" w:cs="Times New Roman" w:asciiTheme="minorEastAsia" w:hAnsiTheme="minorEastAsia"/>
              <w:color w:val="auto"/>
            </w:rPr>
            <w:t>术语和定义</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_Toc187827462 \h </w:instrText>
          </w:r>
          <w:r>
            <w:rPr>
              <w:rFonts w:asciiTheme="minorEastAsia" w:hAnsiTheme="minorEastAsia"/>
            </w:rPr>
            <w:fldChar w:fldCharType="separate"/>
          </w:r>
          <w:r>
            <w:rPr>
              <w:rFonts w:asciiTheme="minorEastAsia" w:hAnsiTheme="minorEastAsia"/>
            </w:rPr>
            <w:t>1</w:t>
          </w:r>
          <w:r>
            <w:rPr>
              <w:rFonts w:asciiTheme="minorEastAsia" w:hAnsiTheme="minorEastAsia"/>
            </w:rPr>
            <w:fldChar w:fldCharType="end"/>
          </w:r>
          <w:r>
            <w:rPr>
              <w:rFonts w:asciiTheme="minorEastAsia" w:hAnsiTheme="minorEastAsia"/>
            </w:rPr>
            <w:fldChar w:fldCharType="end"/>
          </w:r>
        </w:p>
        <w:p w14:paraId="36E2277B">
          <w:pPr>
            <w:pStyle w:val="13"/>
            <w:tabs>
              <w:tab w:val="right" w:leader="dot" w:pos="8296"/>
            </w:tabs>
            <w:rPr>
              <w:rFonts w:asciiTheme="minorEastAsia" w:hAnsiTheme="minorEastAsia"/>
            </w:rPr>
          </w:pPr>
          <w:r>
            <w:fldChar w:fldCharType="begin"/>
          </w:r>
          <w:r>
            <w:instrText xml:space="preserve"> HYPERLINK \l "_Toc187827463" </w:instrText>
          </w:r>
          <w:r>
            <w:fldChar w:fldCharType="separate"/>
          </w:r>
          <w:r>
            <w:rPr>
              <w:rStyle w:val="18"/>
              <w:rFonts w:cs="Times New Roman" w:asciiTheme="minorEastAsia" w:hAnsiTheme="minorEastAsia"/>
              <w:color w:val="auto"/>
            </w:rPr>
            <w:t xml:space="preserve">4  </w:t>
          </w:r>
          <w:r>
            <w:rPr>
              <w:rStyle w:val="18"/>
              <w:rFonts w:hint="eastAsia" w:cs="Times New Roman" w:asciiTheme="minorEastAsia" w:hAnsiTheme="minorEastAsia"/>
              <w:color w:val="auto"/>
            </w:rPr>
            <w:t>结构和功能</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_Toc187827463 \h </w:instrText>
          </w:r>
          <w:r>
            <w:rPr>
              <w:rFonts w:asciiTheme="minorEastAsia" w:hAnsiTheme="minorEastAsia"/>
            </w:rPr>
            <w:fldChar w:fldCharType="separate"/>
          </w:r>
          <w:r>
            <w:rPr>
              <w:rFonts w:asciiTheme="minorEastAsia" w:hAnsiTheme="minorEastAsia"/>
            </w:rPr>
            <w:t>2</w:t>
          </w:r>
          <w:r>
            <w:rPr>
              <w:rFonts w:asciiTheme="minorEastAsia" w:hAnsiTheme="minorEastAsia"/>
            </w:rPr>
            <w:fldChar w:fldCharType="end"/>
          </w:r>
          <w:r>
            <w:rPr>
              <w:rFonts w:asciiTheme="minorEastAsia" w:hAnsiTheme="minorEastAsia"/>
            </w:rPr>
            <w:fldChar w:fldCharType="end"/>
          </w:r>
        </w:p>
        <w:p w14:paraId="07678DC6">
          <w:pPr>
            <w:pStyle w:val="14"/>
            <w:tabs>
              <w:tab w:val="right" w:leader="dot" w:pos="8296"/>
            </w:tabs>
            <w:rPr>
              <w:rFonts w:asciiTheme="minorEastAsia" w:hAnsiTheme="minorEastAsia"/>
            </w:rPr>
          </w:pPr>
          <w:r>
            <w:fldChar w:fldCharType="begin"/>
          </w:r>
          <w:r>
            <w:instrText xml:space="preserve"> HYPERLINK \l "_Toc187827464" </w:instrText>
          </w:r>
          <w:r>
            <w:fldChar w:fldCharType="separate"/>
          </w:r>
          <w:r>
            <w:rPr>
              <w:rStyle w:val="18"/>
              <w:rFonts w:cs="Times New Roman" w:asciiTheme="minorEastAsia" w:hAnsiTheme="minorEastAsia"/>
              <w:color w:val="auto"/>
            </w:rPr>
            <w:t xml:space="preserve">4.1  </w:t>
          </w:r>
          <w:r>
            <w:rPr>
              <w:rStyle w:val="18"/>
              <w:rFonts w:hint="eastAsia" w:cs="Times New Roman" w:asciiTheme="minorEastAsia" w:hAnsiTheme="minorEastAsia"/>
              <w:color w:val="auto"/>
            </w:rPr>
            <w:t>结构</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_Toc187827464 \h </w:instrText>
          </w:r>
          <w:r>
            <w:rPr>
              <w:rFonts w:asciiTheme="minorEastAsia" w:hAnsiTheme="minorEastAsia"/>
            </w:rPr>
            <w:fldChar w:fldCharType="separate"/>
          </w:r>
          <w:r>
            <w:rPr>
              <w:rFonts w:asciiTheme="minorEastAsia" w:hAnsiTheme="minorEastAsia"/>
            </w:rPr>
            <w:t>2</w:t>
          </w:r>
          <w:r>
            <w:rPr>
              <w:rFonts w:asciiTheme="minorEastAsia" w:hAnsiTheme="minorEastAsia"/>
            </w:rPr>
            <w:fldChar w:fldCharType="end"/>
          </w:r>
          <w:r>
            <w:rPr>
              <w:rFonts w:asciiTheme="minorEastAsia" w:hAnsiTheme="minorEastAsia"/>
            </w:rPr>
            <w:fldChar w:fldCharType="end"/>
          </w:r>
        </w:p>
        <w:p w14:paraId="1B506BBE">
          <w:pPr>
            <w:pStyle w:val="14"/>
            <w:tabs>
              <w:tab w:val="right" w:leader="dot" w:pos="8296"/>
            </w:tabs>
            <w:rPr>
              <w:rFonts w:asciiTheme="minorEastAsia" w:hAnsiTheme="minorEastAsia"/>
            </w:rPr>
          </w:pPr>
          <w:r>
            <w:fldChar w:fldCharType="begin"/>
          </w:r>
          <w:r>
            <w:instrText xml:space="preserve"> HYPERLINK \l "_Toc187827465" </w:instrText>
          </w:r>
          <w:r>
            <w:fldChar w:fldCharType="separate"/>
          </w:r>
          <w:r>
            <w:rPr>
              <w:rStyle w:val="18"/>
              <w:rFonts w:cs="Times New Roman" w:asciiTheme="minorEastAsia" w:hAnsiTheme="minorEastAsia"/>
              <w:color w:val="auto"/>
            </w:rPr>
            <w:t xml:space="preserve">4.2  </w:t>
          </w:r>
          <w:r>
            <w:rPr>
              <w:rStyle w:val="18"/>
              <w:rFonts w:hint="eastAsia" w:cs="Times New Roman" w:asciiTheme="minorEastAsia" w:hAnsiTheme="minorEastAsia"/>
              <w:color w:val="auto"/>
            </w:rPr>
            <w:t>功能</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_Toc187827465 \h </w:instrText>
          </w:r>
          <w:r>
            <w:rPr>
              <w:rFonts w:asciiTheme="minorEastAsia" w:hAnsiTheme="minorEastAsia"/>
            </w:rPr>
            <w:fldChar w:fldCharType="separate"/>
          </w:r>
          <w:r>
            <w:rPr>
              <w:rFonts w:asciiTheme="minorEastAsia" w:hAnsiTheme="minorEastAsia"/>
            </w:rPr>
            <w:t>3</w:t>
          </w:r>
          <w:r>
            <w:rPr>
              <w:rFonts w:asciiTheme="minorEastAsia" w:hAnsiTheme="minorEastAsia"/>
            </w:rPr>
            <w:fldChar w:fldCharType="end"/>
          </w:r>
          <w:r>
            <w:rPr>
              <w:rFonts w:asciiTheme="minorEastAsia" w:hAnsiTheme="minorEastAsia"/>
            </w:rPr>
            <w:fldChar w:fldCharType="end"/>
          </w:r>
        </w:p>
        <w:p w14:paraId="2D64BCD6">
          <w:pPr>
            <w:pStyle w:val="13"/>
            <w:tabs>
              <w:tab w:val="right" w:leader="dot" w:pos="8296"/>
            </w:tabs>
            <w:rPr>
              <w:rFonts w:asciiTheme="minorEastAsia" w:hAnsiTheme="minorEastAsia"/>
            </w:rPr>
          </w:pPr>
          <w:r>
            <w:fldChar w:fldCharType="begin"/>
          </w:r>
          <w:r>
            <w:instrText xml:space="preserve"> HYPERLINK \l "_Toc187827466" </w:instrText>
          </w:r>
          <w:r>
            <w:fldChar w:fldCharType="separate"/>
          </w:r>
          <w:r>
            <w:rPr>
              <w:rStyle w:val="18"/>
              <w:rFonts w:cs="Times New Roman" w:asciiTheme="minorEastAsia" w:hAnsiTheme="minorEastAsia"/>
              <w:color w:val="auto"/>
            </w:rPr>
            <w:t xml:space="preserve">5  </w:t>
          </w:r>
          <w:r>
            <w:rPr>
              <w:rStyle w:val="18"/>
              <w:rFonts w:hint="eastAsia" w:cs="Times New Roman" w:asciiTheme="minorEastAsia" w:hAnsiTheme="minorEastAsia"/>
              <w:color w:val="auto"/>
            </w:rPr>
            <w:t>性能要求</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_Toc187827466 \h </w:instrText>
          </w:r>
          <w:r>
            <w:rPr>
              <w:rFonts w:asciiTheme="minorEastAsia" w:hAnsiTheme="minorEastAsia"/>
            </w:rPr>
            <w:fldChar w:fldCharType="separate"/>
          </w:r>
          <w:r>
            <w:rPr>
              <w:rFonts w:asciiTheme="minorEastAsia" w:hAnsiTheme="minorEastAsia"/>
            </w:rPr>
            <w:t>5</w:t>
          </w:r>
          <w:r>
            <w:rPr>
              <w:rFonts w:asciiTheme="minorEastAsia" w:hAnsiTheme="minorEastAsia"/>
            </w:rPr>
            <w:fldChar w:fldCharType="end"/>
          </w:r>
          <w:r>
            <w:rPr>
              <w:rFonts w:asciiTheme="minorEastAsia" w:hAnsiTheme="minorEastAsia"/>
            </w:rPr>
            <w:fldChar w:fldCharType="end"/>
          </w:r>
        </w:p>
        <w:p w14:paraId="69A37CB8">
          <w:pPr>
            <w:pStyle w:val="14"/>
            <w:tabs>
              <w:tab w:val="right" w:leader="dot" w:pos="8296"/>
            </w:tabs>
            <w:rPr>
              <w:rFonts w:asciiTheme="minorEastAsia" w:hAnsiTheme="minorEastAsia"/>
            </w:rPr>
          </w:pPr>
          <w:r>
            <w:fldChar w:fldCharType="begin"/>
          </w:r>
          <w:r>
            <w:instrText xml:space="preserve"> HYPERLINK \l "_Toc187827467" </w:instrText>
          </w:r>
          <w:r>
            <w:fldChar w:fldCharType="separate"/>
          </w:r>
          <w:r>
            <w:rPr>
              <w:rStyle w:val="18"/>
              <w:rFonts w:cs="Times New Roman" w:asciiTheme="minorEastAsia" w:hAnsiTheme="minorEastAsia"/>
              <w:color w:val="auto"/>
            </w:rPr>
            <w:t xml:space="preserve">5.1  </w:t>
          </w:r>
          <w:r>
            <w:rPr>
              <w:rStyle w:val="18"/>
              <w:rFonts w:hint="eastAsia" w:cs="Times New Roman" w:asciiTheme="minorEastAsia" w:hAnsiTheme="minorEastAsia"/>
              <w:color w:val="auto"/>
            </w:rPr>
            <w:t>环境适应性</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_Toc187827467 \h </w:instrText>
          </w:r>
          <w:r>
            <w:rPr>
              <w:rFonts w:asciiTheme="minorEastAsia" w:hAnsiTheme="minorEastAsia"/>
            </w:rPr>
            <w:fldChar w:fldCharType="separate"/>
          </w:r>
          <w:r>
            <w:rPr>
              <w:rFonts w:asciiTheme="minorEastAsia" w:hAnsiTheme="minorEastAsia"/>
            </w:rPr>
            <w:t>5</w:t>
          </w:r>
          <w:r>
            <w:rPr>
              <w:rFonts w:asciiTheme="minorEastAsia" w:hAnsiTheme="minorEastAsia"/>
            </w:rPr>
            <w:fldChar w:fldCharType="end"/>
          </w:r>
          <w:r>
            <w:rPr>
              <w:rFonts w:asciiTheme="minorEastAsia" w:hAnsiTheme="minorEastAsia"/>
            </w:rPr>
            <w:fldChar w:fldCharType="end"/>
          </w:r>
        </w:p>
        <w:p w14:paraId="34A09289">
          <w:pPr>
            <w:pStyle w:val="14"/>
            <w:tabs>
              <w:tab w:val="right" w:leader="dot" w:pos="8296"/>
            </w:tabs>
            <w:rPr>
              <w:rFonts w:asciiTheme="minorEastAsia" w:hAnsiTheme="minorEastAsia"/>
            </w:rPr>
          </w:pPr>
          <w:r>
            <w:fldChar w:fldCharType="begin"/>
          </w:r>
          <w:r>
            <w:instrText xml:space="preserve"> HYPERLINK \l "_Toc187827468" </w:instrText>
          </w:r>
          <w:r>
            <w:fldChar w:fldCharType="separate"/>
          </w:r>
          <w:r>
            <w:rPr>
              <w:rStyle w:val="18"/>
              <w:rFonts w:cs="Times New Roman" w:asciiTheme="minorEastAsia" w:hAnsiTheme="minorEastAsia"/>
              <w:color w:val="auto"/>
            </w:rPr>
            <w:t xml:space="preserve">5.2  </w:t>
          </w:r>
          <w:r>
            <w:rPr>
              <w:rStyle w:val="18"/>
              <w:rFonts w:hint="eastAsia" w:cs="Times New Roman" w:asciiTheme="minorEastAsia" w:hAnsiTheme="minorEastAsia"/>
              <w:color w:val="auto"/>
            </w:rPr>
            <w:t>性能指标</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_Toc187827468 \h </w:instrText>
          </w:r>
          <w:r>
            <w:rPr>
              <w:rFonts w:asciiTheme="minorEastAsia" w:hAnsiTheme="minorEastAsia"/>
            </w:rPr>
            <w:fldChar w:fldCharType="separate"/>
          </w:r>
          <w:r>
            <w:rPr>
              <w:rFonts w:asciiTheme="minorEastAsia" w:hAnsiTheme="minorEastAsia"/>
            </w:rPr>
            <w:t>5</w:t>
          </w:r>
          <w:r>
            <w:rPr>
              <w:rFonts w:asciiTheme="minorEastAsia" w:hAnsiTheme="minorEastAsia"/>
            </w:rPr>
            <w:fldChar w:fldCharType="end"/>
          </w:r>
          <w:r>
            <w:rPr>
              <w:rFonts w:asciiTheme="minorEastAsia" w:hAnsiTheme="minorEastAsia"/>
            </w:rPr>
            <w:fldChar w:fldCharType="end"/>
          </w:r>
        </w:p>
        <w:p w14:paraId="2699F3E9">
          <w:pPr>
            <w:pStyle w:val="14"/>
            <w:tabs>
              <w:tab w:val="right" w:leader="dot" w:pos="8296"/>
            </w:tabs>
            <w:rPr>
              <w:rFonts w:asciiTheme="minorEastAsia" w:hAnsiTheme="minorEastAsia"/>
            </w:rPr>
          </w:pPr>
          <w:r>
            <w:fldChar w:fldCharType="begin"/>
          </w:r>
          <w:r>
            <w:instrText xml:space="preserve"> HYPERLINK \l "_Toc187827469" </w:instrText>
          </w:r>
          <w:r>
            <w:fldChar w:fldCharType="separate"/>
          </w:r>
          <w:r>
            <w:rPr>
              <w:rStyle w:val="18"/>
              <w:rFonts w:cs="Times New Roman" w:asciiTheme="minorEastAsia" w:hAnsiTheme="minorEastAsia"/>
              <w:color w:val="auto"/>
            </w:rPr>
            <w:t xml:space="preserve">5.3  </w:t>
          </w:r>
          <w:r>
            <w:rPr>
              <w:rStyle w:val="18"/>
              <w:rFonts w:hint="eastAsia" w:cs="Times New Roman" w:asciiTheme="minorEastAsia" w:hAnsiTheme="minorEastAsia"/>
              <w:color w:val="auto"/>
            </w:rPr>
            <w:t>供电</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_Toc187827469 \h </w:instrText>
          </w:r>
          <w:r>
            <w:rPr>
              <w:rFonts w:asciiTheme="minorEastAsia" w:hAnsiTheme="minorEastAsia"/>
            </w:rPr>
            <w:fldChar w:fldCharType="separate"/>
          </w:r>
          <w:r>
            <w:rPr>
              <w:rFonts w:asciiTheme="minorEastAsia" w:hAnsiTheme="minorEastAsia"/>
            </w:rPr>
            <w:t>7</w:t>
          </w:r>
          <w:r>
            <w:rPr>
              <w:rFonts w:asciiTheme="minorEastAsia" w:hAnsiTheme="minorEastAsia"/>
            </w:rPr>
            <w:fldChar w:fldCharType="end"/>
          </w:r>
          <w:r>
            <w:rPr>
              <w:rFonts w:asciiTheme="minorEastAsia" w:hAnsiTheme="minorEastAsia"/>
            </w:rPr>
            <w:fldChar w:fldCharType="end"/>
          </w:r>
        </w:p>
        <w:p w14:paraId="09445602">
          <w:pPr>
            <w:pStyle w:val="14"/>
            <w:tabs>
              <w:tab w:val="right" w:leader="dot" w:pos="8296"/>
            </w:tabs>
            <w:rPr>
              <w:rFonts w:asciiTheme="minorEastAsia" w:hAnsiTheme="minorEastAsia"/>
            </w:rPr>
          </w:pPr>
          <w:r>
            <w:fldChar w:fldCharType="begin"/>
          </w:r>
          <w:r>
            <w:instrText xml:space="preserve"> HYPERLINK \l "_Toc187827470" </w:instrText>
          </w:r>
          <w:r>
            <w:fldChar w:fldCharType="separate"/>
          </w:r>
          <w:r>
            <w:rPr>
              <w:rStyle w:val="18"/>
              <w:rFonts w:cs="Times New Roman" w:asciiTheme="minorEastAsia" w:hAnsiTheme="minorEastAsia"/>
              <w:color w:val="auto"/>
            </w:rPr>
            <w:t xml:space="preserve">5.4  </w:t>
          </w:r>
          <w:r>
            <w:rPr>
              <w:rStyle w:val="18"/>
              <w:rFonts w:hint="eastAsia" w:cs="Times New Roman" w:asciiTheme="minorEastAsia" w:hAnsiTheme="minorEastAsia"/>
              <w:color w:val="auto"/>
            </w:rPr>
            <w:t>电磁兼容</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_Toc187827470 \h </w:instrText>
          </w:r>
          <w:r>
            <w:rPr>
              <w:rFonts w:asciiTheme="minorEastAsia" w:hAnsiTheme="minorEastAsia"/>
            </w:rPr>
            <w:fldChar w:fldCharType="separate"/>
          </w:r>
          <w:r>
            <w:rPr>
              <w:rFonts w:asciiTheme="minorEastAsia" w:hAnsiTheme="minorEastAsia"/>
            </w:rPr>
            <w:t>7</w:t>
          </w:r>
          <w:r>
            <w:rPr>
              <w:rFonts w:asciiTheme="minorEastAsia" w:hAnsiTheme="minorEastAsia"/>
            </w:rPr>
            <w:fldChar w:fldCharType="end"/>
          </w:r>
          <w:r>
            <w:rPr>
              <w:rFonts w:asciiTheme="minorEastAsia" w:hAnsiTheme="minorEastAsia"/>
            </w:rPr>
            <w:fldChar w:fldCharType="end"/>
          </w:r>
        </w:p>
        <w:p w14:paraId="6F91313F">
          <w:pPr>
            <w:pStyle w:val="14"/>
            <w:tabs>
              <w:tab w:val="right" w:leader="dot" w:pos="8296"/>
            </w:tabs>
            <w:rPr>
              <w:rFonts w:asciiTheme="minorEastAsia" w:hAnsiTheme="minorEastAsia"/>
            </w:rPr>
          </w:pPr>
          <w:r>
            <w:fldChar w:fldCharType="begin"/>
          </w:r>
          <w:r>
            <w:instrText xml:space="preserve"> HYPERLINK \l "_Toc187827471" </w:instrText>
          </w:r>
          <w:r>
            <w:fldChar w:fldCharType="separate"/>
          </w:r>
          <w:r>
            <w:rPr>
              <w:rStyle w:val="18"/>
              <w:rFonts w:cs="Times New Roman" w:asciiTheme="minorEastAsia" w:hAnsiTheme="minorEastAsia"/>
              <w:color w:val="auto"/>
            </w:rPr>
            <w:t xml:space="preserve">5.5  </w:t>
          </w:r>
          <w:r>
            <w:rPr>
              <w:rStyle w:val="18"/>
              <w:rFonts w:hint="eastAsia" w:cs="Times New Roman" w:asciiTheme="minorEastAsia" w:hAnsiTheme="minorEastAsia"/>
              <w:color w:val="auto"/>
            </w:rPr>
            <w:t>外壳防护等级和抗冲击强度</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_Toc187827471 \h </w:instrText>
          </w:r>
          <w:r>
            <w:rPr>
              <w:rFonts w:asciiTheme="minorEastAsia" w:hAnsiTheme="minorEastAsia"/>
            </w:rPr>
            <w:fldChar w:fldCharType="separate"/>
          </w:r>
          <w:r>
            <w:rPr>
              <w:rFonts w:asciiTheme="minorEastAsia" w:hAnsiTheme="minorEastAsia"/>
            </w:rPr>
            <w:t>7</w:t>
          </w:r>
          <w:r>
            <w:rPr>
              <w:rFonts w:asciiTheme="minorEastAsia" w:hAnsiTheme="minorEastAsia"/>
            </w:rPr>
            <w:fldChar w:fldCharType="end"/>
          </w:r>
          <w:r>
            <w:rPr>
              <w:rFonts w:asciiTheme="minorEastAsia" w:hAnsiTheme="minorEastAsia"/>
            </w:rPr>
            <w:fldChar w:fldCharType="end"/>
          </w:r>
        </w:p>
        <w:p w14:paraId="58A2FBB6">
          <w:pPr>
            <w:pStyle w:val="14"/>
            <w:tabs>
              <w:tab w:val="right" w:leader="dot" w:pos="8296"/>
            </w:tabs>
            <w:rPr>
              <w:rFonts w:asciiTheme="minorEastAsia" w:hAnsiTheme="minorEastAsia"/>
            </w:rPr>
          </w:pPr>
          <w:r>
            <w:fldChar w:fldCharType="begin"/>
          </w:r>
          <w:r>
            <w:instrText xml:space="preserve"> HYPERLINK \l "_Toc187827472" </w:instrText>
          </w:r>
          <w:r>
            <w:fldChar w:fldCharType="separate"/>
          </w:r>
          <w:r>
            <w:rPr>
              <w:rStyle w:val="18"/>
              <w:rFonts w:cs="Times New Roman" w:asciiTheme="minorEastAsia" w:hAnsiTheme="minorEastAsia"/>
              <w:color w:val="auto"/>
            </w:rPr>
            <w:t xml:space="preserve">5.6  </w:t>
          </w:r>
          <w:r>
            <w:rPr>
              <w:rStyle w:val="18"/>
              <w:rFonts w:hint="eastAsia" w:cs="Times New Roman" w:asciiTheme="minorEastAsia" w:hAnsiTheme="minorEastAsia"/>
              <w:color w:val="auto"/>
            </w:rPr>
            <w:t>可靠性要求</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_Toc187827472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2CC0D0B2">
          <w:pPr>
            <w:pStyle w:val="14"/>
            <w:tabs>
              <w:tab w:val="right" w:leader="dot" w:pos="8296"/>
            </w:tabs>
            <w:rPr>
              <w:rFonts w:asciiTheme="minorEastAsia" w:hAnsiTheme="minorEastAsia"/>
            </w:rPr>
          </w:pPr>
          <w:r>
            <w:fldChar w:fldCharType="begin"/>
          </w:r>
          <w:r>
            <w:instrText xml:space="preserve"> HYPERLINK \l "_Toc187827473" </w:instrText>
          </w:r>
          <w:r>
            <w:fldChar w:fldCharType="separate"/>
          </w:r>
          <w:r>
            <w:rPr>
              <w:rStyle w:val="18"/>
              <w:rFonts w:cs="Times New Roman" w:asciiTheme="minorEastAsia" w:hAnsiTheme="minorEastAsia"/>
              <w:color w:val="auto"/>
            </w:rPr>
            <w:t xml:space="preserve">5.7  </w:t>
          </w:r>
          <w:r>
            <w:rPr>
              <w:rStyle w:val="18"/>
              <w:rFonts w:hint="eastAsia" w:cs="Times New Roman" w:asciiTheme="minorEastAsia" w:hAnsiTheme="minorEastAsia"/>
              <w:color w:val="auto"/>
            </w:rPr>
            <w:t>防雷</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_Toc187827473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158DF7F3">
          <w:pPr>
            <w:pStyle w:val="13"/>
            <w:tabs>
              <w:tab w:val="right" w:leader="dot" w:pos="8296"/>
            </w:tabs>
            <w:rPr>
              <w:rFonts w:asciiTheme="minorEastAsia" w:hAnsiTheme="minorEastAsia"/>
            </w:rPr>
          </w:pPr>
          <w:r>
            <w:fldChar w:fldCharType="begin"/>
          </w:r>
          <w:r>
            <w:instrText xml:space="preserve"> HYPERLINK \l "_Toc187827474" </w:instrText>
          </w:r>
          <w:r>
            <w:fldChar w:fldCharType="separate"/>
          </w:r>
          <w:r>
            <w:rPr>
              <w:rStyle w:val="18"/>
              <w:rFonts w:cs="Times New Roman" w:asciiTheme="minorEastAsia" w:hAnsiTheme="minorEastAsia"/>
              <w:color w:val="auto"/>
            </w:rPr>
            <w:t xml:space="preserve">6  </w:t>
          </w:r>
          <w:r>
            <w:rPr>
              <w:rStyle w:val="18"/>
              <w:rFonts w:hint="eastAsia" w:cs="Times New Roman" w:asciiTheme="minorEastAsia" w:hAnsiTheme="minorEastAsia"/>
              <w:color w:val="auto"/>
            </w:rPr>
            <w:t>软件要求</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_Toc187827474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526DE293">
          <w:pPr>
            <w:pStyle w:val="14"/>
            <w:tabs>
              <w:tab w:val="right" w:leader="dot" w:pos="8296"/>
            </w:tabs>
            <w:rPr>
              <w:rFonts w:asciiTheme="minorEastAsia" w:hAnsiTheme="minorEastAsia"/>
            </w:rPr>
          </w:pPr>
          <w:r>
            <w:fldChar w:fldCharType="begin"/>
          </w:r>
          <w:r>
            <w:instrText xml:space="preserve"> HYPERLINK \l "_Toc187827475" </w:instrText>
          </w:r>
          <w:r>
            <w:fldChar w:fldCharType="separate"/>
          </w:r>
          <w:r>
            <w:rPr>
              <w:rStyle w:val="18"/>
              <w:rFonts w:cs="Times New Roman" w:asciiTheme="minorEastAsia" w:hAnsiTheme="minorEastAsia"/>
              <w:color w:val="auto"/>
            </w:rPr>
            <w:t xml:space="preserve">6.1  </w:t>
          </w:r>
          <w:r>
            <w:rPr>
              <w:rStyle w:val="18"/>
              <w:rFonts w:hint="eastAsia" w:cs="Times New Roman" w:asciiTheme="minorEastAsia" w:hAnsiTheme="minorEastAsia"/>
              <w:color w:val="auto"/>
            </w:rPr>
            <w:t>适应性</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_Toc187827475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24DFFE40">
          <w:pPr>
            <w:pStyle w:val="14"/>
            <w:tabs>
              <w:tab w:val="right" w:leader="dot" w:pos="8296"/>
            </w:tabs>
            <w:rPr>
              <w:rFonts w:asciiTheme="minorEastAsia" w:hAnsiTheme="minorEastAsia"/>
            </w:rPr>
          </w:pPr>
          <w:r>
            <w:fldChar w:fldCharType="begin"/>
          </w:r>
          <w:r>
            <w:instrText xml:space="preserve"> HYPERLINK \l "_Toc187827476" </w:instrText>
          </w:r>
          <w:r>
            <w:fldChar w:fldCharType="separate"/>
          </w:r>
          <w:r>
            <w:rPr>
              <w:rStyle w:val="18"/>
              <w:rFonts w:cs="Times New Roman" w:asciiTheme="minorEastAsia" w:hAnsiTheme="minorEastAsia"/>
              <w:color w:val="auto"/>
            </w:rPr>
            <w:t xml:space="preserve">6.2  </w:t>
          </w:r>
          <w:r>
            <w:rPr>
              <w:rStyle w:val="18"/>
              <w:rFonts w:hint="eastAsia" w:cs="Times New Roman" w:asciiTheme="minorEastAsia" w:hAnsiTheme="minorEastAsia"/>
              <w:color w:val="auto"/>
            </w:rPr>
            <w:t>接口与显示</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_Toc187827476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081DD906">
          <w:pPr>
            <w:pStyle w:val="14"/>
            <w:tabs>
              <w:tab w:val="right" w:leader="dot" w:pos="8296"/>
            </w:tabs>
            <w:rPr>
              <w:rFonts w:asciiTheme="minorEastAsia" w:hAnsiTheme="minorEastAsia"/>
            </w:rPr>
          </w:pPr>
          <w:r>
            <w:fldChar w:fldCharType="begin"/>
          </w:r>
          <w:r>
            <w:instrText xml:space="preserve"> HYPERLINK \l "_Toc187827477" </w:instrText>
          </w:r>
          <w:r>
            <w:fldChar w:fldCharType="separate"/>
          </w:r>
          <w:r>
            <w:rPr>
              <w:rStyle w:val="18"/>
              <w:rFonts w:cs="Times New Roman" w:asciiTheme="minorEastAsia" w:hAnsiTheme="minorEastAsia"/>
              <w:color w:val="auto"/>
            </w:rPr>
            <w:t xml:space="preserve">6.3  </w:t>
          </w:r>
          <w:r>
            <w:rPr>
              <w:rStyle w:val="18"/>
              <w:rFonts w:hint="eastAsia" w:cs="Times New Roman" w:asciiTheme="minorEastAsia" w:hAnsiTheme="minorEastAsia"/>
              <w:color w:val="auto"/>
            </w:rPr>
            <w:t>自诊断</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_Toc187827477 \h </w:instrText>
          </w:r>
          <w:r>
            <w:rPr>
              <w:rFonts w:asciiTheme="minorEastAsia" w:hAnsiTheme="minorEastAsia"/>
            </w:rPr>
            <w:fldChar w:fldCharType="separate"/>
          </w:r>
          <w:r>
            <w:rPr>
              <w:rFonts w:asciiTheme="minorEastAsia" w:hAnsiTheme="minorEastAsia"/>
            </w:rPr>
            <w:t>8</w:t>
          </w:r>
          <w:r>
            <w:rPr>
              <w:rFonts w:asciiTheme="minorEastAsia" w:hAnsiTheme="minorEastAsia"/>
            </w:rPr>
            <w:fldChar w:fldCharType="end"/>
          </w:r>
          <w:r>
            <w:rPr>
              <w:rFonts w:asciiTheme="minorEastAsia" w:hAnsiTheme="minorEastAsia"/>
            </w:rPr>
            <w:fldChar w:fldCharType="end"/>
          </w:r>
        </w:p>
        <w:p w14:paraId="5A906262">
          <w:pPr>
            <w:pStyle w:val="14"/>
            <w:tabs>
              <w:tab w:val="right" w:leader="dot" w:pos="8296"/>
            </w:tabs>
            <w:rPr>
              <w:rFonts w:asciiTheme="minorEastAsia" w:hAnsiTheme="minorEastAsia"/>
            </w:rPr>
          </w:pPr>
          <w:r>
            <w:fldChar w:fldCharType="begin"/>
          </w:r>
          <w:r>
            <w:instrText xml:space="preserve"> HYPERLINK \l "_Toc187827478" </w:instrText>
          </w:r>
          <w:r>
            <w:fldChar w:fldCharType="separate"/>
          </w:r>
          <w:r>
            <w:rPr>
              <w:rStyle w:val="18"/>
              <w:rFonts w:cs="Times New Roman" w:asciiTheme="minorEastAsia" w:hAnsiTheme="minorEastAsia"/>
              <w:color w:val="auto"/>
            </w:rPr>
            <w:t xml:space="preserve">6.4  </w:t>
          </w:r>
          <w:r>
            <w:rPr>
              <w:rStyle w:val="18"/>
              <w:rFonts w:hint="eastAsia" w:cs="Times New Roman" w:asciiTheme="minorEastAsia" w:hAnsiTheme="minorEastAsia"/>
              <w:color w:val="auto"/>
            </w:rPr>
            <w:t>信息安全</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_Toc187827478 \h </w:instrText>
          </w:r>
          <w:r>
            <w:rPr>
              <w:rFonts w:asciiTheme="minorEastAsia" w:hAnsiTheme="minorEastAsia"/>
            </w:rPr>
            <w:fldChar w:fldCharType="separate"/>
          </w:r>
          <w:r>
            <w:rPr>
              <w:rFonts w:asciiTheme="minorEastAsia" w:hAnsiTheme="minorEastAsia"/>
            </w:rPr>
            <w:t>9</w:t>
          </w:r>
          <w:r>
            <w:rPr>
              <w:rFonts w:asciiTheme="minorEastAsia" w:hAnsiTheme="minorEastAsia"/>
            </w:rPr>
            <w:fldChar w:fldCharType="end"/>
          </w:r>
          <w:r>
            <w:rPr>
              <w:rFonts w:asciiTheme="minorEastAsia" w:hAnsiTheme="minorEastAsia"/>
            </w:rPr>
            <w:fldChar w:fldCharType="end"/>
          </w:r>
        </w:p>
        <w:p w14:paraId="7250BFE2">
          <w:pPr>
            <w:pStyle w:val="14"/>
            <w:tabs>
              <w:tab w:val="right" w:leader="dot" w:pos="8296"/>
            </w:tabs>
            <w:rPr>
              <w:rFonts w:asciiTheme="minorEastAsia" w:hAnsiTheme="minorEastAsia"/>
            </w:rPr>
          </w:pPr>
          <w:r>
            <w:fldChar w:fldCharType="begin"/>
          </w:r>
          <w:r>
            <w:instrText xml:space="preserve"> HYPERLINK \l "_Toc187827479" </w:instrText>
          </w:r>
          <w:r>
            <w:fldChar w:fldCharType="separate"/>
          </w:r>
          <w:r>
            <w:rPr>
              <w:rStyle w:val="18"/>
              <w:rFonts w:cs="Times New Roman" w:asciiTheme="minorEastAsia" w:hAnsiTheme="minorEastAsia"/>
              <w:color w:val="auto"/>
            </w:rPr>
            <w:t xml:space="preserve">6.5  </w:t>
          </w:r>
          <w:r>
            <w:rPr>
              <w:rStyle w:val="18"/>
              <w:rFonts w:hint="eastAsia" w:cs="Times New Roman" w:asciiTheme="minorEastAsia" w:hAnsiTheme="minorEastAsia"/>
              <w:color w:val="auto"/>
            </w:rPr>
            <w:t>数据处理与检索</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_Toc187827479 \h </w:instrText>
          </w:r>
          <w:r>
            <w:rPr>
              <w:rFonts w:asciiTheme="minorEastAsia" w:hAnsiTheme="minorEastAsia"/>
            </w:rPr>
            <w:fldChar w:fldCharType="separate"/>
          </w:r>
          <w:r>
            <w:rPr>
              <w:rFonts w:asciiTheme="minorEastAsia" w:hAnsiTheme="minorEastAsia"/>
            </w:rPr>
            <w:t>9</w:t>
          </w:r>
          <w:r>
            <w:rPr>
              <w:rFonts w:asciiTheme="minorEastAsia" w:hAnsiTheme="minorEastAsia"/>
            </w:rPr>
            <w:fldChar w:fldCharType="end"/>
          </w:r>
          <w:r>
            <w:rPr>
              <w:rFonts w:asciiTheme="minorEastAsia" w:hAnsiTheme="minorEastAsia"/>
            </w:rPr>
            <w:fldChar w:fldCharType="end"/>
          </w:r>
        </w:p>
        <w:p w14:paraId="5AA53573">
          <w:pPr>
            <w:pStyle w:val="14"/>
            <w:tabs>
              <w:tab w:val="right" w:leader="dot" w:pos="8296"/>
            </w:tabs>
            <w:rPr>
              <w:rFonts w:asciiTheme="minorEastAsia" w:hAnsiTheme="minorEastAsia"/>
            </w:rPr>
          </w:pPr>
          <w:r>
            <w:fldChar w:fldCharType="begin"/>
          </w:r>
          <w:r>
            <w:instrText xml:space="preserve"> HYPERLINK \l "_Toc187827480" </w:instrText>
          </w:r>
          <w:r>
            <w:fldChar w:fldCharType="separate"/>
          </w:r>
          <w:r>
            <w:rPr>
              <w:rStyle w:val="18"/>
              <w:rFonts w:cs="Times New Roman" w:asciiTheme="minorEastAsia" w:hAnsiTheme="minorEastAsia"/>
              <w:color w:val="auto"/>
            </w:rPr>
            <w:t xml:space="preserve">6.6  </w:t>
          </w:r>
          <w:r>
            <w:rPr>
              <w:rStyle w:val="18"/>
              <w:rFonts w:hint="eastAsia" w:cs="Times New Roman" w:asciiTheme="minorEastAsia" w:hAnsiTheme="minorEastAsia"/>
              <w:color w:val="auto"/>
            </w:rPr>
            <w:t>测站信息管理</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_Toc187827480 \h </w:instrText>
          </w:r>
          <w:r>
            <w:rPr>
              <w:rFonts w:asciiTheme="minorEastAsia" w:hAnsiTheme="minorEastAsia"/>
            </w:rPr>
            <w:fldChar w:fldCharType="separate"/>
          </w:r>
          <w:r>
            <w:rPr>
              <w:rFonts w:asciiTheme="minorEastAsia" w:hAnsiTheme="minorEastAsia"/>
            </w:rPr>
            <w:t>9</w:t>
          </w:r>
          <w:r>
            <w:rPr>
              <w:rFonts w:asciiTheme="minorEastAsia" w:hAnsiTheme="minorEastAsia"/>
            </w:rPr>
            <w:fldChar w:fldCharType="end"/>
          </w:r>
          <w:r>
            <w:rPr>
              <w:rFonts w:asciiTheme="minorEastAsia" w:hAnsiTheme="minorEastAsia"/>
            </w:rPr>
            <w:fldChar w:fldCharType="end"/>
          </w:r>
        </w:p>
        <w:p w14:paraId="6BD81742">
          <w:pPr>
            <w:pStyle w:val="14"/>
            <w:tabs>
              <w:tab w:val="right" w:leader="dot" w:pos="8296"/>
            </w:tabs>
            <w:rPr>
              <w:rFonts w:asciiTheme="minorEastAsia" w:hAnsiTheme="minorEastAsia"/>
            </w:rPr>
          </w:pPr>
          <w:r>
            <w:fldChar w:fldCharType="begin"/>
          </w:r>
          <w:r>
            <w:instrText xml:space="preserve"> HYPERLINK \l "_Toc187827481" </w:instrText>
          </w:r>
          <w:r>
            <w:fldChar w:fldCharType="separate"/>
          </w:r>
          <w:r>
            <w:rPr>
              <w:rStyle w:val="18"/>
              <w:rFonts w:cs="Times New Roman" w:asciiTheme="minorEastAsia" w:hAnsiTheme="minorEastAsia"/>
              <w:color w:val="auto"/>
            </w:rPr>
            <w:t xml:space="preserve">6.7  </w:t>
          </w:r>
          <w:r>
            <w:rPr>
              <w:rStyle w:val="18"/>
              <w:rFonts w:hint="eastAsia" w:cs="Times New Roman" w:asciiTheme="minorEastAsia" w:hAnsiTheme="minorEastAsia"/>
              <w:color w:val="auto"/>
            </w:rPr>
            <w:t>监测数据分析查询</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_Toc187827481 \h </w:instrText>
          </w:r>
          <w:r>
            <w:rPr>
              <w:rFonts w:asciiTheme="minorEastAsia" w:hAnsiTheme="minorEastAsia"/>
            </w:rPr>
            <w:fldChar w:fldCharType="separate"/>
          </w:r>
          <w:r>
            <w:rPr>
              <w:rFonts w:asciiTheme="minorEastAsia" w:hAnsiTheme="minorEastAsia"/>
            </w:rPr>
            <w:t>10</w:t>
          </w:r>
          <w:r>
            <w:rPr>
              <w:rFonts w:asciiTheme="minorEastAsia" w:hAnsiTheme="minorEastAsia"/>
            </w:rPr>
            <w:fldChar w:fldCharType="end"/>
          </w:r>
          <w:r>
            <w:rPr>
              <w:rFonts w:asciiTheme="minorEastAsia" w:hAnsiTheme="minorEastAsia"/>
            </w:rPr>
            <w:fldChar w:fldCharType="end"/>
          </w:r>
        </w:p>
        <w:p w14:paraId="2E833E38">
          <w:pPr>
            <w:pStyle w:val="13"/>
            <w:tabs>
              <w:tab w:val="left" w:pos="420"/>
              <w:tab w:val="right" w:leader="dot" w:pos="8296"/>
            </w:tabs>
            <w:rPr>
              <w:rFonts w:asciiTheme="minorEastAsia" w:hAnsiTheme="minorEastAsia"/>
            </w:rPr>
          </w:pPr>
          <w:r>
            <w:fldChar w:fldCharType="begin"/>
          </w:r>
          <w:r>
            <w:instrText xml:space="preserve"> HYPERLINK \l "_Toc187827482" </w:instrText>
          </w:r>
          <w:r>
            <w:fldChar w:fldCharType="separate"/>
          </w:r>
          <w:r>
            <w:rPr>
              <w:rStyle w:val="18"/>
              <w:rFonts w:cs="Times New Roman" w:asciiTheme="minorEastAsia" w:hAnsiTheme="minorEastAsia"/>
              <w:color w:val="auto"/>
            </w:rPr>
            <w:t>7</w:t>
          </w:r>
          <w:r>
            <w:rPr>
              <w:rFonts w:asciiTheme="minorEastAsia" w:hAnsiTheme="minorEastAsia"/>
            </w:rPr>
            <w:tab/>
          </w:r>
          <w:r>
            <w:rPr>
              <w:rStyle w:val="18"/>
              <w:rFonts w:hint="eastAsia" w:cs="Times New Roman" w:asciiTheme="minorEastAsia" w:hAnsiTheme="minorEastAsia"/>
              <w:color w:val="auto"/>
            </w:rPr>
            <w:t>安装调试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_Toc187827482 \h </w:instrText>
          </w:r>
          <w:r>
            <w:rPr>
              <w:rFonts w:asciiTheme="minorEastAsia" w:hAnsiTheme="minorEastAsia"/>
            </w:rPr>
            <w:fldChar w:fldCharType="separate"/>
          </w:r>
          <w:r>
            <w:rPr>
              <w:rFonts w:asciiTheme="minorEastAsia" w:hAnsiTheme="minorEastAsia"/>
            </w:rPr>
            <w:t>10</w:t>
          </w:r>
          <w:r>
            <w:rPr>
              <w:rFonts w:asciiTheme="minorEastAsia" w:hAnsiTheme="minorEastAsia"/>
            </w:rPr>
            <w:fldChar w:fldCharType="end"/>
          </w:r>
          <w:r>
            <w:rPr>
              <w:rFonts w:asciiTheme="minorEastAsia" w:hAnsiTheme="minorEastAsia"/>
            </w:rPr>
            <w:fldChar w:fldCharType="end"/>
          </w:r>
        </w:p>
        <w:p w14:paraId="3FECA72B">
          <w:pPr>
            <w:pStyle w:val="14"/>
            <w:tabs>
              <w:tab w:val="right" w:leader="dot" w:pos="8296"/>
            </w:tabs>
            <w:rPr>
              <w:rFonts w:asciiTheme="minorEastAsia" w:hAnsiTheme="minorEastAsia"/>
            </w:rPr>
          </w:pPr>
          <w:r>
            <w:fldChar w:fldCharType="begin"/>
          </w:r>
          <w:r>
            <w:instrText xml:space="preserve"> HYPERLINK \l "_Toc187827483" </w:instrText>
          </w:r>
          <w:r>
            <w:fldChar w:fldCharType="separate"/>
          </w:r>
          <w:r>
            <w:rPr>
              <w:rStyle w:val="18"/>
              <w:rFonts w:cs="Times New Roman" w:asciiTheme="minorEastAsia" w:hAnsiTheme="minorEastAsia"/>
              <w:color w:val="auto"/>
            </w:rPr>
            <w:t xml:space="preserve">7.1  </w:t>
          </w:r>
          <w:r>
            <w:rPr>
              <w:rStyle w:val="18"/>
              <w:rFonts w:hint="eastAsia" w:cs="Times New Roman" w:asciiTheme="minorEastAsia" w:hAnsiTheme="minorEastAsia"/>
              <w:color w:val="auto"/>
            </w:rPr>
            <w:t>仪器检验</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_Toc187827483 \h </w:instrText>
          </w:r>
          <w:r>
            <w:rPr>
              <w:rFonts w:asciiTheme="minorEastAsia" w:hAnsiTheme="minorEastAsia"/>
            </w:rPr>
            <w:fldChar w:fldCharType="separate"/>
          </w:r>
          <w:r>
            <w:rPr>
              <w:rFonts w:asciiTheme="minorEastAsia" w:hAnsiTheme="minorEastAsia"/>
            </w:rPr>
            <w:t>10</w:t>
          </w:r>
          <w:r>
            <w:rPr>
              <w:rFonts w:asciiTheme="minorEastAsia" w:hAnsiTheme="minorEastAsia"/>
            </w:rPr>
            <w:fldChar w:fldCharType="end"/>
          </w:r>
          <w:r>
            <w:rPr>
              <w:rFonts w:asciiTheme="minorEastAsia" w:hAnsiTheme="minorEastAsia"/>
            </w:rPr>
            <w:fldChar w:fldCharType="end"/>
          </w:r>
        </w:p>
        <w:p w14:paraId="4D33A497">
          <w:pPr>
            <w:pStyle w:val="14"/>
            <w:tabs>
              <w:tab w:val="right" w:leader="dot" w:pos="8296"/>
            </w:tabs>
            <w:rPr>
              <w:rFonts w:asciiTheme="minorEastAsia" w:hAnsiTheme="minorEastAsia"/>
            </w:rPr>
          </w:pPr>
          <w:r>
            <w:fldChar w:fldCharType="begin"/>
          </w:r>
          <w:r>
            <w:instrText xml:space="preserve"> HYPERLINK \l "_Toc187827484" </w:instrText>
          </w:r>
          <w:r>
            <w:fldChar w:fldCharType="separate"/>
          </w:r>
          <w:r>
            <w:rPr>
              <w:rStyle w:val="18"/>
              <w:rFonts w:cs="Times New Roman" w:asciiTheme="minorEastAsia" w:hAnsiTheme="minorEastAsia"/>
              <w:color w:val="auto"/>
            </w:rPr>
            <w:t xml:space="preserve">7.2  </w:t>
          </w:r>
          <w:r>
            <w:rPr>
              <w:rStyle w:val="18"/>
              <w:rFonts w:hint="eastAsia" w:cs="Times New Roman" w:asciiTheme="minorEastAsia" w:hAnsiTheme="minorEastAsia"/>
              <w:color w:val="auto"/>
            </w:rPr>
            <w:t>安装</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_Toc187827484 \h </w:instrText>
          </w:r>
          <w:r>
            <w:rPr>
              <w:rFonts w:asciiTheme="minorEastAsia" w:hAnsiTheme="minorEastAsia"/>
            </w:rPr>
            <w:fldChar w:fldCharType="separate"/>
          </w:r>
          <w:r>
            <w:rPr>
              <w:rFonts w:asciiTheme="minorEastAsia" w:hAnsiTheme="minorEastAsia"/>
            </w:rPr>
            <w:t>10</w:t>
          </w:r>
          <w:r>
            <w:rPr>
              <w:rFonts w:asciiTheme="minorEastAsia" w:hAnsiTheme="minorEastAsia"/>
            </w:rPr>
            <w:fldChar w:fldCharType="end"/>
          </w:r>
          <w:r>
            <w:rPr>
              <w:rFonts w:asciiTheme="minorEastAsia" w:hAnsiTheme="minorEastAsia"/>
            </w:rPr>
            <w:fldChar w:fldCharType="end"/>
          </w:r>
        </w:p>
        <w:p w14:paraId="4FE1BE70">
          <w:pPr>
            <w:pStyle w:val="8"/>
            <w:tabs>
              <w:tab w:val="right" w:leader="dot" w:pos="8296"/>
            </w:tabs>
            <w:rPr>
              <w:rFonts w:asciiTheme="minorEastAsia" w:hAnsiTheme="minorEastAsia"/>
            </w:rPr>
          </w:pPr>
          <w:r>
            <w:fldChar w:fldCharType="begin"/>
          </w:r>
          <w:r>
            <w:instrText xml:space="preserve"> HYPERLINK \l "_Toc187827485" </w:instrText>
          </w:r>
          <w:r>
            <w:fldChar w:fldCharType="separate"/>
          </w:r>
          <w:r>
            <w:rPr>
              <w:rStyle w:val="18"/>
              <w:rFonts w:asciiTheme="minorEastAsia" w:hAnsiTheme="minorEastAsia"/>
              <w:color w:val="auto"/>
            </w:rPr>
            <w:t xml:space="preserve">7.2.1  </w:t>
          </w:r>
          <w:r>
            <w:rPr>
              <w:rStyle w:val="18"/>
              <w:rFonts w:hint="eastAsia" w:asciiTheme="minorEastAsia" w:hAnsiTheme="minorEastAsia"/>
              <w:color w:val="auto"/>
            </w:rPr>
            <w:t>一般规定</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_Toc187827485 \h </w:instrText>
          </w:r>
          <w:r>
            <w:rPr>
              <w:rFonts w:asciiTheme="minorEastAsia" w:hAnsiTheme="minorEastAsia"/>
            </w:rPr>
            <w:fldChar w:fldCharType="separate"/>
          </w:r>
          <w:r>
            <w:rPr>
              <w:rFonts w:asciiTheme="minorEastAsia" w:hAnsiTheme="minorEastAsia"/>
            </w:rPr>
            <w:t>10</w:t>
          </w:r>
          <w:r>
            <w:rPr>
              <w:rFonts w:asciiTheme="minorEastAsia" w:hAnsiTheme="minorEastAsia"/>
            </w:rPr>
            <w:fldChar w:fldCharType="end"/>
          </w:r>
          <w:r>
            <w:rPr>
              <w:rFonts w:asciiTheme="minorEastAsia" w:hAnsiTheme="minorEastAsia"/>
            </w:rPr>
            <w:fldChar w:fldCharType="end"/>
          </w:r>
        </w:p>
        <w:p w14:paraId="62D477D6">
          <w:pPr>
            <w:pStyle w:val="8"/>
            <w:tabs>
              <w:tab w:val="right" w:leader="dot" w:pos="8296"/>
            </w:tabs>
            <w:rPr>
              <w:rFonts w:asciiTheme="minorEastAsia" w:hAnsiTheme="minorEastAsia"/>
            </w:rPr>
          </w:pPr>
          <w:r>
            <w:fldChar w:fldCharType="begin"/>
          </w:r>
          <w:r>
            <w:instrText xml:space="preserve"> HYPERLINK \l "_Toc187827486" </w:instrText>
          </w:r>
          <w:r>
            <w:fldChar w:fldCharType="separate"/>
          </w:r>
          <w:r>
            <w:rPr>
              <w:rStyle w:val="18"/>
              <w:rFonts w:asciiTheme="minorEastAsia" w:hAnsiTheme="minorEastAsia"/>
              <w:color w:val="auto"/>
            </w:rPr>
            <w:t xml:space="preserve">7.2.2  </w:t>
          </w:r>
          <w:r>
            <w:rPr>
              <w:rStyle w:val="18"/>
              <w:rFonts w:hint="eastAsia" w:asciiTheme="minorEastAsia" w:hAnsiTheme="minorEastAsia"/>
              <w:color w:val="auto"/>
            </w:rPr>
            <w:t>天线架设</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_Toc187827486 \h </w:instrText>
          </w:r>
          <w:r>
            <w:rPr>
              <w:rFonts w:asciiTheme="minorEastAsia" w:hAnsiTheme="minorEastAsia"/>
            </w:rPr>
            <w:fldChar w:fldCharType="separate"/>
          </w:r>
          <w:r>
            <w:rPr>
              <w:rFonts w:asciiTheme="minorEastAsia" w:hAnsiTheme="minorEastAsia"/>
            </w:rPr>
            <w:t>11</w:t>
          </w:r>
          <w:r>
            <w:rPr>
              <w:rFonts w:asciiTheme="minorEastAsia" w:hAnsiTheme="minorEastAsia"/>
            </w:rPr>
            <w:fldChar w:fldCharType="end"/>
          </w:r>
          <w:r>
            <w:rPr>
              <w:rFonts w:asciiTheme="minorEastAsia" w:hAnsiTheme="minorEastAsia"/>
            </w:rPr>
            <w:fldChar w:fldCharType="end"/>
          </w:r>
        </w:p>
        <w:p w14:paraId="2C1253FF">
          <w:pPr>
            <w:pStyle w:val="8"/>
            <w:tabs>
              <w:tab w:val="right" w:leader="dot" w:pos="8296"/>
            </w:tabs>
            <w:rPr>
              <w:rFonts w:asciiTheme="minorEastAsia" w:hAnsiTheme="minorEastAsia"/>
            </w:rPr>
          </w:pPr>
          <w:r>
            <w:fldChar w:fldCharType="begin"/>
          </w:r>
          <w:r>
            <w:instrText xml:space="preserve"> HYPERLINK \l "_Toc187827487" </w:instrText>
          </w:r>
          <w:r>
            <w:fldChar w:fldCharType="separate"/>
          </w:r>
          <w:r>
            <w:rPr>
              <w:rStyle w:val="18"/>
              <w:rFonts w:asciiTheme="minorEastAsia" w:hAnsiTheme="minorEastAsia"/>
              <w:color w:val="auto"/>
            </w:rPr>
            <w:t xml:space="preserve">7.2.3  </w:t>
          </w:r>
          <w:r>
            <w:rPr>
              <w:rStyle w:val="18"/>
              <w:rFonts w:hint="eastAsia" w:asciiTheme="minorEastAsia" w:hAnsiTheme="minorEastAsia"/>
              <w:color w:val="auto"/>
            </w:rPr>
            <w:t>接收机架设</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_Toc187827487 \h </w:instrText>
          </w:r>
          <w:r>
            <w:rPr>
              <w:rFonts w:asciiTheme="minorEastAsia" w:hAnsiTheme="minorEastAsia"/>
            </w:rPr>
            <w:fldChar w:fldCharType="separate"/>
          </w:r>
          <w:r>
            <w:rPr>
              <w:rFonts w:asciiTheme="minorEastAsia" w:hAnsiTheme="minorEastAsia"/>
            </w:rPr>
            <w:t>11</w:t>
          </w:r>
          <w:r>
            <w:rPr>
              <w:rFonts w:asciiTheme="minorEastAsia" w:hAnsiTheme="minorEastAsia"/>
            </w:rPr>
            <w:fldChar w:fldCharType="end"/>
          </w:r>
          <w:r>
            <w:rPr>
              <w:rFonts w:asciiTheme="minorEastAsia" w:hAnsiTheme="minorEastAsia"/>
            </w:rPr>
            <w:fldChar w:fldCharType="end"/>
          </w:r>
        </w:p>
        <w:p w14:paraId="13E9DF48">
          <w:pPr>
            <w:pStyle w:val="8"/>
            <w:tabs>
              <w:tab w:val="right" w:leader="dot" w:pos="8296"/>
            </w:tabs>
            <w:rPr>
              <w:rFonts w:asciiTheme="minorEastAsia" w:hAnsiTheme="minorEastAsia"/>
            </w:rPr>
          </w:pPr>
          <w:r>
            <w:fldChar w:fldCharType="begin"/>
          </w:r>
          <w:r>
            <w:instrText xml:space="preserve"> HYPERLINK \l "_Toc187827488" </w:instrText>
          </w:r>
          <w:r>
            <w:fldChar w:fldCharType="separate"/>
          </w:r>
          <w:r>
            <w:rPr>
              <w:rStyle w:val="18"/>
              <w:rFonts w:asciiTheme="minorEastAsia" w:hAnsiTheme="minorEastAsia"/>
              <w:color w:val="auto"/>
            </w:rPr>
            <w:t xml:space="preserve">7.2.4  </w:t>
          </w:r>
          <w:r>
            <w:rPr>
              <w:rStyle w:val="18"/>
              <w:rFonts w:hint="eastAsia" w:asciiTheme="minorEastAsia" w:hAnsiTheme="minorEastAsia"/>
              <w:color w:val="auto"/>
            </w:rPr>
            <w:t>浪涌保护器</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_Toc187827488 \h </w:instrText>
          </w:r>
          <w:r>
            <w:rPr>
              <w:rFonts w:asciiTheme="minorEastAsia" w:hAnsiTheme="minorEastAsia"/>
            </w:rPr>
            <w:fldChar w:fldCharType="separate"/>
          </w:r>
          <w:r>
            <w:rPr>
              <w:rFonts w:asciiTheme="minorEastAsia" w:hAnsiTheme="minorEastAsia"/>
            </w:rPr>
            <w:t>11</w:t>
          </w:r>
          <w:r>
            <w:rPr>
              <w:rFonts w:asciiTheme="minorEastAsia" w:hAnsiTheme="minorEastAsia"/>
            </w:rPr>
            <w:fldChar w:fldCharType="end"/>
          </w:r>
          <w:r>
            <w:rPr>
              <w:rFonts w:asciiTheme="minorEastAsia" w:hAnsiTheme="minorEastAsia"/>
            </w:rPr>
            <w:fldChar w:fldCharType="end"/>
          </w:r>
        </w:p>
        <w:p w14:paraId="51C3AE2A">
          <w:pPr>
            <w:pStyle w:val="8"/>
            <w:tabs>
              <w:tab w:val="right" w:leader="dot" w:pos="8296"/>
            </w:tabs>
            <w:rPr>
              <w:rFonts w:asciiTheme="minorEastAsia" w:hAnsiTheme="minorEastAsia"/>
            </w:rPr>
          </w:pPr>
          <w:r>
            <w:fldChar w:fldCharType="begin"/>
          </w:r>
          <w:r>
            <w:instrText xml:space="preserve"> HYPERLINK \l "_Toc187827489" </w:instrText>
          </w:r>
          <w:r>
            <w:fldChar w:fldCharType="separate"/>
          </w:r>
          <w:r>
            <w:rPr>
              <w:rStyle w:val="18"/>
              <w:rFonts w:asciiTheme="minorEastAsia" w:hAnsiTheme="minorEastAsia"/>
              <w:color w:val="auto"/>
            </w:rPr>
            <w:t xml:space="preserve">7.2.5  </w:t>
          </w:r>
          <w:r>
            <w:rPr>
              <w:rStyle w:val="18"/>
              <w:rFonts w:hint="eastAsia" w:asciiTheme="minorEastAsia" w:hAnsiTheme="minorEastAsia"/>
              <w:color w:val="auto"/>
            </w:rPr>
            <w:t>线缆敷设</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_Toc187827489 \h </w:instrText>
          </w:r>
          <w:r>
            <w:rPr>
              <w:rFonts w:asciiTheme="minorEastAsia" w:hAnsiTheme="minorEastAsia"/>
            </w:rPr>
            <w:fldChar w:fldCharType="separate"/>
          </w:r>
          <w:r>
            <w:rPr>
              <w:rFonts w:asciiTheme="minorEastAsia" w:hAnsiTheme="minorEastAsia"/>
            </w:rPr>
            <w:t>11</w:t>
          </w:r>
          <w:r>
            <w:rPr>
              <w:rFonts w:asciiTheme="minorEastAsia" w:hAnsiTheme="minorEastAsia"/>
            </w:rPr>
            <w:fldChar w:fldCharType="end"/>
          </w:r>
          <w:r>
            <w:rPr>
              <w:rFonts w:asciiTheme="minorEastAsia" w:hAnsiTheme="minorEastAsia"/>
            </w:rPr>
            <w:fldChar w:fldCharType="end"/>
          </w:r>
        </w:p>
        <w:p w14:paraId="6D9DC65C">
          <w:pPr>
            <w:pStyle w:val="14"/>
            <w:tabs>
              <w:tab w:val="right" w:leader="dot" w:pos="8296"/>
            </w:tabs>
            <w:rPr>
              <w:rFonts w:asciiTheme="minorEastAsia" w:hAnsiTheme="minorEastAsia"/>
            </w:rPr>
          </w:pPr>
          <w:r>
            <w:fldChar w:fldCharType="begin"/>
          </w:r>
          <w:r>
            <w:instrText xml:space="preserve"> HYPERLINK \l "_Toc187827490" </w:instrText>
          </w:r>
          <w:r>
            <w:fldChar w:fldCharType="separate"/>
          </w:r>
          <w:r>
            <w:rPr>
              <w:rStyle w:val="18"/>
              <w:rFonts w:cs="Times New Roman" w:asciiTheme="minorEastAsia" w:hAnsiTheme="minorEastAsia"/>
              <w:color w:val="auto"/>
            </w:rPr>
            <w:t xml:space="preserve">7.3  </w:t>
          </w:r>
          <w:r>
            <w:rPr>
              <w:rStyle w:val="18"/>
              <w:rFonts w:hint="eastAsia" w:cs="Times New Roman" w:asciiTheme="minorEastAsia" w:hAnsiTheme="minorEastAsia"/>
              <w:color w:val="auto"/>
            </w:rPr>
            <w:t>调试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_Toc187827490 \h </w:instrText>
          </w:r>
          <w:r>
            <w:rPr>
              <w:rFonts w:asciiTheme="minorEastAsia" w:hAnsiTheme="minorEastAsia"/>
            </w:rPr>
            <w:fldChar w:fldCharType="separate"/>
          </w:r>
          <w:r>
            <w:rPr>
              <w:rFonts w:asciiTheme="minorEastAsia" w:hAnsiTheme="minorEastAsia"/>
            </w:rPr>
            <w:t>12</w:t>
          </w:r>
          <w:r>
            <w:rPr>
              <w:rFonts w:asciiTheme="minorEastAsia" w:hAnsiTheme="minorEastAsia"/>
            </w:rPr>
            <w:fldChar w:fldCharType="end"/>
          </w:r>
          <w:r>
            <w:rPr>
              <w:rFonts w:asciiTheme="minorEastAsia" w:hAnsiTheme="minorEastAsia"/>
            </w:rPr>
            <w:fldChar w:fldCharType="end"/>
          </w:r>
        </w:p>
        <w:p w14:paraId="0C94102F">
          <w:pPr>
            <w:pStyle w:val="8"/>
            <w:tabs>
              <w:tab w:val="right" w:leader="dot" w:pos="8296"/>
            </w:tabs>
            <w:rPr>
              <w:rFonts w:asciiTheme="minorEastAsia" w:hAnsiTheme="minorEastAsia"/>
            </w:rPr>
          </w:pPr>
          <w:r>
            <w:fldChar w:fldCharType="begin"/>
          </w:r>
          <w:r>
            <w:instrText xml:space="preserve"> HYPERLINK \l "_Toc187827491" </w:instrText>
          </w:r>
          <w:r>
            <w:fldChar w:fldCharType="separate"/>
          </w:r>
          <w:r>
            <w:rPr>
              <w:rStyle w:val="18"/>
              <w:rFonts w:asciiTheme="minorEastAsia" w:hAnsiTheme="minorEastAsia"/>
              <w:color w:val="auto"/>
            </w:rPr>
            <w:t xml:space="preserve">7.3.1  </w:t>
          </w:r>
          <w:r>
            <w:rPr>
              <w:rStyle w:val="18"/>
              <w:rFonts w:hint="eastAsia" w:asciiTheme="minorEastAsia" w:hAnsiTheme="minorEastAsia"/>
              <w:color w:val="auto"/>
            </w:rPr>
            <w:t>一般规定</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_Toc187827491 \h </w:instrText>
          </w:r>
          <w:r>
            <w:rPr>
              <w:rFonts w:asciiTheme="minorEastAsia" w:hAnsiTheme="minorEastAsia"/>
            </w:rPr>
            <w:fldChar w:fldCharType="separate"/>
          </w:r>
          <w:r>
            <w:rPr>
              <w:rFonts w:asciiTheme="minorEastAsia" w:hAnsiTheme="minorEastAsia"/>
            </w:rPr>
            <w:t>12</w:t>
          </w:r>
          <w:r>
            <w:rPr>
              <w:rFonts w:asciiTheme="minorEastAsia" w:hAnsiTheme="minorEastAsia"/>
            </w:rPr>
            <w:fldChar w:fldCharType="end"/>
          </w:r>
          <w:r>
            <w:rPr>
              <w:rFonts w:asciiTheme="minorEastAsia" w:hAnsiTheme="minorEastAsia"/>
            </w:rPr>
            <w:fldChar w:fldCharType="end"/>
          </w:r>
        </w:p>
        <w:p w14:paraId="1DE64D0E">
          <w:pPr>
            <w:pStyle w:val="8"/>
            <w:tabs>
              <w:tab w:val="right" w:leader="dot" w:pos="8296"/>
            </w:tabs>
            <w:rPr>
              <w:rFonts w:asciiTheme="minorEastAsia" w:hAnsiTheme="minorEastAsia"/>
            </w:rPr>
          </w:pPr>
          <w:r>
            <w:fldChar w:fldCharType="begin"/>
          </w:r>
          <w:r>
            <w:instrText xml:space="preserve"> HYPERLINK \l "_Toc187827492" </w:instrText>
          </w:r>
          <w:r>
            <w:fldChar w:fldCharType="separate"/>
          </w:r>
          <w:r>
            <w:rPr>
              <w:rStyle w:val="18"/>
              <w:rFonts w:asciiTheme="minorEastAsia" w:hAnsiTheme="minorEastAsia"/>
              <w:color w:val="auto"/>
            </w:rPr>
            <w:t xml:space="preserve">7.3.2  </w:t>
          </w:r>
          <w:r>
            <w:rPr>
              <w:rStyle w:val="18"/>
              <w:rFonts w:hint="eastAsia" w:asciiTheme="minorEastAsia" w:hAnsiTheme="minorEastAsia"/>
              <w:color w:val="auto"/>
            </w:rPr>
            <w:t>接收机调试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_Toc187827492 \h </w:instrText>
          </w:r>
          <w:r>
            <w:rPr>
              <w:rFonts w:asciiTheme="minorEastAsia" w:hAnsiTheme="minorEastAsia"/>
            </w:rPr>
            <w:fldChar w:fldCharType="separate"/>
          </w:r>
          <w:r>
            <w:rPr>
              <w:rFonts w:asciiTheme="minorEastAsia" w:hAnsiTheme="minorEastAsia"/>
            </w:rPr>
            <w:t>12</w:t>
          </w:r>
          <w:r>
            <w:rPr>
              <w:rFonts w:asciiTheme="minorEastAsia" w:hAnsiTheme="minorEastAsia"/>
            </w:rPr>
            <w:fldChar w:fldCharType="end"/>
          </w:r>
          <w:r>
            <w:rPr>
              <w:rFonts w:asciiTheme="minorEastAsia" w:hAnsiTheme="minorEastAsia"/>
            </w:rPr>
            <w:fldChar w:fldCharType="end"/>
          </w:r>
        </w:p>
        <w:p w14:paraId="5F6263B9">
          <w:pPr>
            <w:pStyle w:val="8"/>
            <w:tabs>
              <w:tab w:val="right" w:leader="dot" w:pos="8296"/>
            </w:tabs>
            <w:rPr>
              <w:rFonts w:asciiTheme="minorEastAsia" w:hAnsiTheme="minorEastAsia"/>
            </w:rPr>
          </w:pPr>
          <w:r>
            <w:fldChar w:fldCharType="begin"/>
          </w:r>
          <w:r>
            <w:instrText xml:space="preserve"> HYPERLINK \l "_Toc187827493" </w:instrText>
          </w:r>
          <w:r>
            <w:fldChar w:fldCharType="separate"/>
          </w:r>
          <w:r>
            <w:rPr>
              <w:rStyle w:val="18"/>
              <w:rFonts w:asciiTheme="minorEastAsia" w:hAnsiTheme="minorEastAsia"/>
              <w:color w:val="auto"/>
            </w:rPr>
            <w:t xml:space="preserve">7.3.3  </w:t>
          </w:r>
          <w:r>
            <w:rPr>
              <w:rStyle w:val="18"/>
              <w:rFonts w:hint="eastAsia" w:asciiTheme="minorEastAsia" w:hAnsiTheme="minorEastAsia"/>
              <w:color w:val="auto"/>
            </w:rPr>
            <w:t>网络通信调试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_Toc187827493 \h </w:instrText>
          </w:r>
          <w:r>
            <w:rPr>
              <w:rFonts w:asciiTheme="minorEastAsia" w:hAnsiTheme="minorEastAsia"/>
            </w:rPr>
            <w:fldChar w:fldCharType="separate"/>
          </w:r>
          <w:r>
            <w:rPr>
              <w:rFonts w:asciiTheme="minorEastAsia" w:hAnsiTheme="minorEastAsia"/>
            </w:rPr>
            <w:t>12</w:t>
          </w:r>
          <w:r>
            <w:rPr>
              <w:rFonts w:asciiTheme="minorEastAsia" w:hAnsiTheme="minorEastAsia"/>
            </w:rPr>
            <w:fldChar w:fldCharType="end"/>
          </w:r>
          <w:r>
            <w:rPr>
              <w:rFonts w:asciiTheme="minorEastAsia" w:hAnsiTheme="minorEastAsia"/>
            </w:rPr>
            <w:fldChar w:fldCharType="end"/>
          </w:r>
        </w:p>
        <w:p w14:paraId="1D87E84D">
          <w:pPr>
            <w:pStyle w:val="8"/>
            <w:tabs>
              <w:tab w:val="right" w:leader="dot" w:pos="8296"/>
            </w:tabs>
            <w:rPr>
              <w:rFonts w:asciiTheme="minorEastAsia" w:hAnsiTheme="minorEastAsia"/>
            </w:rPr>
          </w:pPr>
          <w:r>
            <w:fldChar w:fldCharType="begin"/>
          </w:r>
          <w:r>
            <w:instrText xml:space="preserve"> HYPERLINK \l "_Toc187827494" </w:instrText>
          </w:r>
          <w:r>
            <w:fldChar w:fldCharType="separate"/>
          </w:r>
          <w:r>
            <w:rPr>
              <w:rStyle w:val="18"/>
              <w:rFonts w:asciiTheme="minorEastAsia" w:hAnsiTheme="minorEastAsia"/>
              <w:color w:val="auto"/>
            </w:rPr>
            <w:t xml:space="preserve">7.3.4  </w:t>
          </w:r>
          <w:r>
            <w:rPr>
              <w:rStyle w:val="18"/>
              <w:rFonts w:hint="eastAsia" w:asciiTheme="minorEastAsia" w:hAnsiTheme="minorEastAsia"/>
              <w:color w:val="auto"/>
            </w:rPr>
            <w:t>软件调试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_Toc187827494 \h </w:instrText>
          </w:r>
          <w:r>
            <w:rPr>
              <w:rFonts w:asciiTheme="minorEastAsia" w:hAnsiTheme="minorEastAsia"/>
            </w:rPr>
            <w:fldChar w:fldCharType="separate"/>
          </w:r>
          <w:r>
            <w:rPr>
              <w:rFonts w:asciiTheme="minorEastAsia" w:hAnsiTheme="minorEastAsia"/>
            </w:rPr>
            <w:t>13</w:t>
          </w:r>
          <w:r>
            <w:rPr>
              <w:rFonts w:asciiTheme="minorEastAsia" w:hAnsiTheme="minorEastAsia"/>
            </w:rPr>
            <w:fldChar w:fldCharType="end"/>
          </w:r>
          <w:r>
            <w:rPr>
              <w:rFonts w:asciiTheme="minorEastAsia" w:hAnsiTheme="minorEastAsia"/>
            </w:rPr>
            <w:fldChar w:fldCharType="end"/>
          </w:r>
        </w:p>
        <w:p w14:paraId="7B549857">
          <w:pPr>
            <w:pStyle w:val="8"/>
            <w:tabs>
              <w:tab w:val="right" w:leader="dot" w:pos="8296"/>
            </w:tabs>
            <w:rPr>
              <w:rFonts w:asciiTheme="minorEastAsia" w:hAnsiTheme="minorEastAsia"/>
            </w:rPr>
          </w:pPr>
          <w:r>
            <w:fldChar w:fldCharType="begin"/>
          </w:r>
          <w:r>
            <w:instrText xml:space="preserve"> HYPERLINK \l "_Toc187827495" </w:instrText>
          </w:r>
          <w:r>
            <w:fldChar w:fldCharType="separate"/>
          </w:r>
          <w:r>
            <w:rPr>
              <w:rStyle w:val="18"/>
              <w:rFonts w:asciiTheme="minorEastAsia" w:hAnsiTheme="minorEastAsia"/>
              <w:color w:val="auto"/>
            </w:rPr>
            <w:t xml:space="preserve">7.3.5  </w:t>
          </w:r>
          <w:r>
            <w:rPr>
              <w:rStyle w:val="18"/>
              <w:rFonts w:hint="eastAsia" w:asciiTheme="minorEastAsia" w:hAnsiTheme="minorEastAsia"/>
              <w:color w:val="auto"/>
            </w:rPr>
            <w:t>系统试运行</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_Toc187827495 \h </w:instrText>
          </w:r>
          <w:r>
            <w:rPr>
              <w:rFonts w:asciiTheme="minorEastAsia" w:hAnsiTheme="minorEastAsia"/>
            </w:rPr>
            <w:fldChar w:fldCharType="separate"/>
          </w:r>
          <w:r>
            <w:rPr>
              <w:rFonts w:asciiTheme="minorEastAsia" w:hAnsiTheme="minorEastAsia"/>
            </w:rPr>
            <w:t>13</w:t>
          </w:r>
          <w:r>
            <w:rPr>
              <w:rFonts w:asciiTheme="minorEastAsia" w:hAnsiTheme="minorEastAsia"/>
            </w:rPr>
            <w:fldChar w:fldCharType="end"/>
          </w:r>
          <w:r>
            <w:rPr>
              <w:rFonts w:asciiTheme="minorEastAsia" w:hAnsiTheme="minorEastAsia"/>
            </w:rPr>
            <w:fldChar w:fldCharType="end"/>
          </w:r>
        </w:p>
        <w:p w14:paraId="629A1782">
          <w:pPr>
            <w:pStyle w:val="13"/>
            <w:tabs>
              <w:tab w:val="right" w:leader="dot" w:pos="8296"/>
            </w:tabs>
            <w:rPr>
              <w:rFonts w:asciiTheme="minorEastAsia" w:hAnsiTheme="minorEastAsia"/>
            </w:rPr>
          </w:pPr>
          <w:r>
            <w:fldChar w:fldCharType="begin"/>
          </w:r>
          <w:r>
            <w:instrText xml:space="preserve"> HYPERLINK \l "_Toc187827496" </w:instrText>
          </w:r>
          <w:r>
            <w:fldChar w:fldCharType="separate"/>
          </w:r>
          <w:r>
            <w:rPr>
              <w:rStyle w:val="18"/>
              <w:rFonts w:cs="Times New Roman" w:asciiTheme="minorEastAsia" w:hAnsiTheme="minorEastAsia"/>
              <w:color w:val="auto"/>
              <w:kern w:val="0"/>
            </w:rPr>
            <w:t xml:space="preserve">8  </w:t>
          </w:r>
          <w:r>
            <w:rPr>
              <w:rStyle w:val="18"/>
              <w:rFonts w:hint="eastAsia" w:cs="Times New Roman" w:asciiTheme="minorEastAsia" w:hAnsiTheme="minorEastAsia"/>
              <w:color w:val="auto"/>
              <w:kern w:val="0"/>
            </w:rPr>
            <w:t>运行维护</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_Toc187827496 \h </w:instrText>
          </w:r>
          <w:r>
            <w:rPr>
              <w:rFonts w:asciiTheme="minorEastAsia" w:hAnsiTheme="minorEastAsia"/>
            </w:rPr>
            <w:fldChar w:fldCharType="separate"/>
          </w:r>
          <w:r>
            <w:rPr>
              <w:rFonts w:asciiTheme="minorEastAsia" w:hAnsiTheme="minorEastAsia"/>
            </w:rPr>
            <w:t>14</w:t>
          </w:r>
          <w:r>
            <w:rPr>
              <w:rFonts w:asciiTheme="minorEastAsia" w:hAnsiTheme="minorEastAsia"/>
            </w:rPr>
            <w:fldChar w:fldCharType="end"/>
          </w:r>
          <w:r>
            <w:rPr>
              <w:rFonts w:asciiTheme="minorEastAsia" w:hAnsiTheme="minorEastAsia"/>
            </w:rPr>
            <w:fldChar w:fldCharType="end"/>
          </w:r>
        </w:p>
        <w:p w14:paraId="10C3A47A">
          <w:pPr>
            <w:pStyle w:val="14"/>
            <w:tabs>
              <w:tab w:val="right" w:leader="dot" w:pos="8296"/>
            </w:tabs>
            <w:rPr>
              <w:rFonts w:asciiTheme="minorEastAsia" w:hAnsiTheme="minorEastAsia"/>
            </w:rPr>
          </w:pPr>
          <w:r>
            <w:fldChar w:fldCharType="begin"/>
          </w:r>
          <w:r>
            <w:instrText xml:space="preserve"> HYPERLINK \l "_Toc187827497" </w:instrText>
          </w:r>
          <w:r>
            <w:fldChar w:fldCharType="separate"/>
          </w:r>
          <w:r>
            <w:rPr>
              <w:rStyle w:val="18"/>
              <w:rFonts w:cs="Times New Roman" w:asciiTheme="minorEastAsia" w:hAnsiTheme="minorEastAsia"/>
              <w:color w:val="auto"/>
            </w:rPr>
            <w:t xml:space="preserve">8.1  </w:t>
          </w:r>
          <w:r>
            <w:rPr>
              <w:rStyle w:val="18"/>
              <w:rFonts w:hint="eastAsia" w:cs="Times New Roman" w:asciiTheme="minorEastAsia" w:hAnsiTheme="minorEastAsia"/>
              <w:color w:val="auto"/>
            </w:rPr>
            <w:t>一般规定</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_Toc187827497 \h </w:instrText>
          </w:r>
          <w:r>
            <w:rPr>
              <w:rFonts w:asciiTheme="minorEastAsia" w:hAnsiTheme="minorEastAsia"/>
            </w:rPr>
            <w:fldChar w:fldCharType="separate"/>
          </w:r>
          <w:r>
            <w:rPr>
              <w:rFonts w:asciiTheme="minorEastAsia" w:hAnsiTheme="minorEastAsia"/>
            </w:rPr>
            <w:t>14</w:t>
          </w:r>
          <w:r>
            <w:rPr>
              <w:rFonts w:asciiTheme="minorEastAsia" w:hAnsiTheme="minorEastAsia"/>
            </w:rPr>
            <w:fldChar w:fldCharType="end"/>
          </w:r>
          <w:r>
            <w:rPr>
              <w:rFonts w:asciiTheme="minorEastAsia" w:hAnsiTheme="minorEastAsia"/>
            </w:rPr>
            <w:fldChar w:fldCharType="end"/>
          </w:r>
        </w:p>
        <w:p w14:paraId="5EE02587">
          <w:pPr>
            <w:pStyle w:val="14"/>
            <w:tabs>
              <w:tab w:val="right" w:leader="dot" w:pos="8296"/>
            </w:tabs>
            <w:rPr>
              <w:rFonts w:asciiTheme="minorEastAsia" w:hAnsiTheme="minorEastAsia"/>
            </w:rPr>
          </w:pPr>
          <w:r>
            <w:fldChar w:fldCharType="begin"/>
          </w:r>
          <w:r>
            <w:instrText xml:space="preserve"> HYPERLINK \l "_Toc187827498" </w:instrText>
          </w:r>
          <w:r>
            <w:fldChar w:fldCharType="separate"/>
          </w:r>
          <w:r>
            <w:rPr>
              <w:rStyle w:val="18"/>
              <w:rFonts w:cs="Times New Roman" w:asciiTheme="minorEastAsia" w:hAnsiTheme="minorEastAsia"/>
              <w:color w:val="auto"/>
            </w:rPr>
            <w:t xml:space="preserve">8.2  </w:t>
          </w:r>
          <w:r>
            <w:rPr>
              <w:rStyle w:val="18"/>
              <w:rFonts w:hint="eastAsia" w:cs="Times New Roman" w:asciiTheme="minorEastAsia" w:hAnsiTheme="minorEastAsia"/>
              <w:color w:val="auto"/>
            </w:rPr>
            <w:t>运维系统建立</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_Toc187827498 \h </w:instrText>
          </w:r>
          <w:r>
            <w:rPr>
              <w:rFonts w:asciiTheme="minorEastAsia" w:hAnsiTheme="minorEastAsia"/>
            </w:rPr>
            <w:fldChar w:fldCharType="separate"/>
          </w:r>
          <w:r>
            <w:rPr>
              <w:rFonts w:asciiTheme="minorEastAsia" w:hAnsiTheme="minorEastAsia"/>
            </w:rPr>
            <w:t>14</w:t>
          </w:r>
          <w:r>
            <w:rPr>
              <w:rFonts w:asciiTheme="minorEastAsia" w:hAnsiTheme="minorEastAsia"/>
            </w:rPr>
            <w:fldChar w:fldCharType="end"/>
          </w:r>
          <w:r>
            <w:rPr>
              <w:rFonts w:asciiTheme="minorEastAsia" w:hAnsiTheme="minorEastAsia"/>
            </w:rPr>
            <w:fldChar w:fldCharType="end"/>
          </w:r>
        </w:p>
        <w:p w14:paraId="74763BCA">
          <w:pPr>
            <w:pStyle w:val="14"/>
            <w:tabs>
              <w:tab w:val="right" w:leader="dot" w:pos="8296"/>
            </w:tabs>
            <w:rPr>
              <w:rFonts w:asciiTheme="minorEastAsia" w:hAnsiTheme="minorEastAsia"/>
            </w:rPr>
          </w:pPr>
          <w:r>
            <w:fldChar w:fldCharType="begin"/>
          </w:r>
          <w:r>
            <w:instrText xml:space="preserve"> HYPERLINK \l "_Toc187827499" </w:instrText>
          </w:r>
          <w:r>
            <w:fldChar w:fldCharType="separate"/>
          </w:r>
          <w:r>
            <w:rPr>
              <w:rStyle w:val="18"/>
              <w:rFonts w:cs="Times New Roman" w:asciiTheme="minorEastAsia" w:hAnsiTheme="minorEastAsia"/>
              <w:color w:val="auto"/>
            </w:rPr>
            <w:t xml:space="preserve">8.3  </w:t>
          </w:r>
          <w:r>
            <w:rPr>
              <w:rStyle w:val="18"/>
              <w:rFonts w:hint="eastAsia" w:cs="Times New Roman" w:asciiTheme="minorEastAsia" w:hAnsiTheme="minorEastAsia"/>
              <w:color w:val="auto"/>
            </w:rPr>
            <w:t>数据维护</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_Toc187827499 \h </w:instrText>
          </w:r>
          <w:r>
            <w:rPr>
              <w:rFonts w:asciiTheme="minorEastAsia" w:hAnsiTheme="minorEastAsia"/>
            </w:rPr>
            <w:fldChar w:fldCharType="separate"/>
          </w:r>
          <w:r>
            <w:rPr>
              <w:rFonts w:asciiTheme="minorEastAsia" w:hAnsiTheme="minorEastAsia"/>
            </w:rPr>
            <w:t>15</w:t>
          </w:r>
          <w:r>
            <w:rPr>
              <w:rFonts w:asciiTheme="minorEastAsia" w:hAnsiTheme="minorEastAsia"/>
            </w:rPr>
            <w:fldChar w:fldCharType="end"/>
          </w:r>
          <w:r>
            <w:rPr>
              <w:rFonts w:asciiTheme="minorEastAsia" w:hAnsiTheme="minorEastAsia"/>
            </w:rPr>
            <w:fldChar w:fldCharType="end"/>
          </w:r>
        </w:p>
        <w:p w14:paraId="308C565A">
          <w:pPr>
            <w:pStyle w:val="14"/>
            <w:tabs>
              <w:tab w:val="right" w:leader="dot" w:pos="8296"/>
            </w:tabs>
            <w:rPr>
              <w:rFonts w:asciiTheme="minorEastAsia" w:hAnsiTheme="minorEastAsia"/>
            </w:rPr>
          </w:pPr>
          <w:r>
            <w:fldChar w:fldCharType="begin"/>
          </w:r>
          <w:r>
            <w:instrText xml:space="preserve"> HYPERLINK \l "_Toc187827500" </w:instrText>
          </w:r>
          <w:r>
            <w:fldChar w:fldCharType="separate"/>
          </w:r>
          <w:r>
            <w:rPr>
              <w:rStyle w:val="18"/>
              <w:rFonts w:cs="Times New Roman" w:asciiTheme="minorEastAsia" w:hAnsiTheme="minorEastAsia"/>
              <w:color w:val="auto"/>
            </w:rPr>
            <w:t xml:space="preserve">8.4  </w:t>
          </w:r>
          <w:r>
            <w:rPr>
              <w:rStyle w:val="18"/>
              <w:rFonts w:hint="eastAsia" w:cs="Times New Roman" w:asciiTheme="minorEastAsia" w:hAnsiTheme="minorEastAsia"/>
              <w:color w:val="auto"/>
            </w:rPr>
            <w:t>软件维护</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_Toc187827500 \h </w:instrText>
          </w:r>
          <w:r>
            <w:rPr>
              <w:rFonts w:asciiTheme="minorEastAsia" w:hAnsiTheme="minorEastAsia"/>
            </w:rPr>
            <w:fldChar w:fldCharType="separate"/>
          </w:r>
          <w:r>
            <w:rPr>
              <w:rFonts w:asciiTheme="minorEastAsia" w:hAnsiTheme="minorEastAsia"/>
            </w:rPr>
            <w:t>15</w:t>
          </w:r>
          <w:r>
            <w:rPr>
              <w:rFonts w:asciiTheme="minorEastAsia" w:hAnsiTheme="minorEastAsia"/>
            </w:rPr>
            <w:fldChar w:fldCharType="end"/>
          </w:r>
          <w:r>
            <w:rPr>
              <w:rFonts w:asciiTheme="minorEastAsia" w:hAnsiTheme="minorEastAsia"/>
            </w:rPr>
            <w:fldChar w:fldCharType="end"/>
          </w:r>
        </w:p>
        <w:p w14:paraId="2C9FEA57">
          <w:pPr>
            <w:pStyle w:val="14"/>
            <w:tabs>
              <w:tab w:val="right" w:leader="dot" w:pos="8296"/>
            </w:tabs>
            <w:rPr>
              <w:rFonts w:asciiTheme="minorEastAsia" w:hAnsiTheme="minorEastAsia"/>
            </w:rPr>
          </w:pPr>
          <w:r>
            <w:fldChar w:fldCharType="begin"/>
          </w:r>
          <w:r>
            <w:instrText xml:space="preserve"> HYPERLINK \l "_Toc187827501" </w:instrText>
          </w:r>
          <w:r>
            <w:fldChar w:fldCharType="separate"/>
          </w:r>
          <w:r>
            <w:rPr>
              <w:rStyle w:val="18"/>
              <w:rFonts w:cs="Times New Roman" w:asciiTheme="minorEastAsia" w:hAnsiTheme="minorEastAsia"/>
              <w:color w:val="auto"/>
            </w:rPr>
            <w:t xml:space="preserve">8.5  </w:t>
          </w:r>
          <w:r>
            <w:rPr>
              <w:rStyle w:val="18"/>
              <w:rFonts w:hint="eastAsia" w:cs="Times New Roman" w:asciiTheme="minorEastAsia" w:hAnsiTheme="minorEastAsia"/>
              <w:color w:val="auto"/>
            </w:rPr>
            <w:t>设备维护</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_Toc187827501 \h </w:instrText>
          </w:r>
          <w:r>
            <w:rPr>
              <w:rFonts w:asciiTheme="minorEastAsia" w:hAnsiTheme="minorEastAsia"/>
            </w:rPr>
            <w:fldChar w:fldCharType="separate"/>
          </w:r>
          <w:r>
            <w:rPr>
              <w:rFonts w:asciiTheme="minorEastAsia" w:hAnsiTheme="minorEastAsia"/>
            </w:rPr>
            <w:t>15</w:t>
          </w:r>
          <w:r>
            <w:rPr>
              <w:rFonts w:asciiTheme="minorEastAsia" w:hAnsiTheme="minorEastAsia"/>
            </w:rPr>
            <w:fldChar w:fldCharType="end"/>
          </w:r>
          <w:r>
            <w:rPr>
              <w:rFonts w:asciiTheme="minorEastAsia" w:hAnsiTheme="minorEastAsia"/>
            </w:rPr>
            <w:fldChar w:fldCharType="end"/>
          </w:r>
        </w:p>
        <w:p w14:paraId="7FD8DFBC">
          <w:pPr>
            <w:pStyle w:val="13"/>
            <w:tabs>
              <w:tab w:val="right" w:leader="dot" w:pos="8296"/>
            </w:tabs>
            <w:rPr>
              <w:rFonts w:asciiTheme="minorEastAsia" w:hAnsiTheme="minorEastAsia"/>
            </w:rPr>
          </w:pPr>
          <w:r>
            <w:fldChar w:fldCharType="begin"/>
          </w:r>
          <w:r>
            <w:instrText xml:space="preserve"> HYPERLINK \l "_Toc187827502" </w:instrText>
          </w:r>
          <w:r>
            <w:fldChar w:fldCharType="separate"/>
          </w:r>
          <w:r>
            <w:rPr>
              <w:rStyle w:val="18"/>
              <w:rFonts w:hint="eastAsia" w:asciiTheme="minorEastAsia" w:hAnsiTheme="minorEastAsia"/>
              <w:color w:val="auto"/>
            </w:rPr>
            <w:t>附　录　A （资料性附录）</w:t>
          </w:r>
          <w:r>
            <w:rPr>
              <w:rStyle w:val="18"/>
              <w:rFonts w:asciiTheme="minorEastAsia" w:hAnsiTheme="minorEastAsia"/>
              <w:color w:val="auto"/>
            </w:rPr>
            <w:t xml:space="preserve"> </w:t>
          </w:r>
          <w:r>
            <w:rPr>
              <w:rStyle w:val="18"/>
              <w:rFonts w:hint="eastAsia" w:asciiTheme="minorEastAsia" w:hAnsiTheme="minorEastAsia"/>
              <w:color w:val="auto"/>
            </w:rPr>
            <w:t>北斗仪器检验方法</w:t>
          </w:r>
          <w:r>
            <w:rPr>
              <w:rFonts w:asciiTheme="minorEastAsia" w:hAnsiTheme="minorEastAsia"/>
            </w:rPr>
            <w:tab/>
          </w:r>
          <w:r>
            <w:rPr>
              <w:rFonts w:asciiTheme="minorEastAsia" w:hAnsiTheme="minorEastAsia"/>
            </w:rPr>
            <w:fldChar w:fldCharType="begin"/>
          </w:r>
          <w:r>
            <w:rPr>
              <w:rFonts w:asciiTheme="minorEastAsia" w:hAnsiTheme="minorEastAsia"/>
            </w:rPr>
            <w:instrText xml:space="preserve"> PAGEREF _Toc187827502 \h </w:instrText>
          </w:r>
          <w:r>
            <w:rPr>
              <w:rFonts w:asciiTheme="minorEastAsia" w:hAnsiTheme="minorEastAsia"/>
            </w:rPr>
            <w:fldChar w:fldCharType="separate"/>
          </w:r>
          <w:r>
            <w:rPr>
              <w:rFonts w:asciiTheme="minorEastAsia" w:hAnsiTheme="minorEastAsia"/>
            </w:rPr>
            <w:t>16</w:t>
          </w:r>
          <w:r>
            <w:rPr>
              <w:rFonts w:asciiTheme="minorEastAsia" w:hAnsiTheme="minorEastAsia"/>
            </w:rPr>
            <w:fldChar w:fldCharType="end"/>
          </w:r>
          <w:r>
            <w:rPr>
              <w:rFonts w:asciiTheme="minorEastAsia" w:hAnsiTheme="minorEastAsia"/>
            </w:rPr>
            <w:fldChar w:fldCharType="end"/>
          </w:r>
        </w:p>
        <w:p w14:paraId="2E6312F7">
          <w:pPr>
            <w:spacing w:line="300" w:lineRule="auto"/>
            <w:rPr>
              <w:rFonts w:ascii="Times New Roman" w:hAnsi="Times New Roman" w:cs="Times New Roman"/>
            </w:rPr>
          </w:pPr>
          <w:r>
            <w:rPr>
              <w:rFonts w:cs="Times New Roman" w:asciiTheme="minorEastAsia" w:hAnsiTheme="minorEastAsia"/>
              <w:b/>
              <w:bCs/>
              <w:szCs w:val="21"/>
              <w:lang w:val="zh-CN"/>
            </w:rPr>
            <w:fldChar w:fldCharType="end"/>
          </w:r>
        </w:p>
      </w:sdtContent>
    </w:sdt>
    <w:p w14:paraId="2C5C691D">
      <w:pPr>
        <w:spacing w:after="312" w:afterLines="100"/>
        <w:jc w:val="center"/>
        <w:rPr>
          <w:rFonts w:ascii="Times New Roman" w:hAnsi="Times New Roman" w:cs="Times New Roman" w:eastAsiaTheme="majorEastAsia"/>
          <w:b/>
          <w:sz w:val="36"/>
          <w:szCs w:val="36"/>
        </w:rPr>
      </w:pPr>
    </w:p>
    <w:p w14:paraId="3E0E1904">
      <w:pPr>
        <w:spacing w:after="312" w:afterLines="100"/>
        <w:jc w:val="center"/>
        <w:rPr>
          <w:rFonts w:ascii="Times New Roman" w:hAnsi="Times New Roman" w:eastAsia="黑体" w:cs="Times New Roman"/>
          <w:sz w:val="32"/>
          <w:szCs w:val="32"/>
        </w:rPr>
        <w:sectPr>
          <w:footerReference r:id="rId5" w:type="default"/>
          <w:pgSz w:w="11906" w:h="16838"/>
          <w:pgMar w:top="1440" w:right="1800" w:bottom="1440" w:left="1800" w:header="851" w:footer="992" w:gutter="0"/>
          <w:pgNumType w:fmt="upperRoman" w:start="1"/>
          <w:cols w:space="425" w:num="1"/>
          <w:docGrid w:type="lines" w:linePitch="312" w:charSpace="0"/>
        </w:sectPr>
      </w:pPr>
    </w:p>
    <w:p w14:paraId="20550CC0">
      <w:pPr>
        <w:pStyle w:val="57"/>
        <w:adjustRightInd w:val="0"/>
        <w:spacing w:after="312" w:afterLines="100"/>
        <w:rPr>
          <w:rFonts w:ascii="Times New Roman" w:hAnsi="Times New Roman" w:cs="Times New Roman"/>
          <w:szCs w:val="32"/>
        </w:rPr>
      </w:pPr>
    </w:p>
    <w:p w14:paraId="1B76D20C">
      <w:pPr>
        <w:spacing w:after="312" w:afterLines="100"/>
        <w:ind w:firstLine="420"/>
        <w:jc w:val="center"/>
        <w:rPr>
          <w:rFonts w:ascii="Times New Roman" w:hAnsi="Times New Roman" w:cs="Times New Roman" w:eastAsiaTheme="majorEastAsia"/>
        </w:rPr>
      </w:pPr>
      <w:bookmarkStart w:id="0" w:name="_Toc24241"/>
      <w:bookmarkStart w:id="1" w:name="_Toc1728"/>
      <w:r>
        <w:rPr>
          <w:rFonts w:ascii="Times New Roman"/>
          <w:szCs w:val="32"/>
        </w:rPr>
        <w:t>前  言</w:t>
      </w:r>
      <w:bookmarkEnd w:id="0"/>
      <w:bookmarkEnd w:id="1"/>
      <w:r>
        <w:rPr>
          <w:rFonts w:hint="eastAsia" w:ascii="Times New Roman" w:hAnsi="Times New Roman" w:eastAsia="黑体" w:cs="Times New Roman"/>
          <w:sz w:val="32"/>
          <w:szCs w:val="32"/>
        </w:rPr>
        <w:t>`</w:t>
      </w:r>
    </w:p>
    <w:p w14:paraId="23DBAF3D">
      <w:pPr>
        <w:pStyle w:val="47"/>
        <w:spacing w:line="240" w:lineRule="auto"/>
        <w:ind w:firstLine="420"/>
        <w:rPr>
          <w:rFonts w:ascii="Times New Roman" w:hAnsi="Times New Roman" w:cs="Times New Roman"/>
        </w:rPr>
      </w:pPr>
      <w:r>
        <w:rPr>
          <w:rFonts w:hint="eastAsia" w:ascii="Times New Roman" w:hAnsi="Times New Roman" w:cs="Times New Roman"/>
        </w:rPr>
        <w:t>本文件按照</w:t>
      </w:r>
      <w:r>
        <w:rPr>
          <w:rFonts w:ascii="Times New Roman" w:hAnsi="Times New Roman" w:cs="Times New Roman"/>
        </w:rPr>
        <w:t>GB/T 1.1—2020《标准化工作导则  第1部分：标准化文件的结构和起草规则》的规定起草。</w:t>
      </w:r>
    </w:p>
    <w:p w14:paraId="04D982EB">
      <w:pPr>
        <w:pStyle w:val="47"/>
        <w:spacing w:line="240" w:lineRule="auto"/>
        <w:ind w:firstLine="420"/>
        <w:rPr>
          <w:rFonts w:ascii="Times New Roman" w:hAnsi="Times New Roman" w:cs="Times New Roman"/>
        </w:rPr>
      </w:pPr>
      <w:r>
        <w:rPr>
          <w:rFonts w:hint="eastAsia" w:ascii="Times New Roman" w:hAnsi="Times New Roman" w:cs="Times New Roman"/>
        </w:rPr>
        <w:t>本文件为</w:t>
      </w:r>
      <w:r>
        <w:rPr>
          <w:rFonts w:ascii="Times New Roman" w:hAnsi="Times New Roman" w:cs="Times New Roman"/>
        </w:rPr>
        <w:t>9章，主要内容包括系统的结构和功能、性能要求、信息管理、软件设计、安装调试、运行维护等。</w:t>
      </w:r>
    </w:p>
    <w:p w14:paraId="47DEC1D2">
      <w:pPr>
        <w:pStyle w:val="47"/>
        <w:spacing w:line="240" w:lineRule="auto"/>
        <w:ind w:firstLine="420"/>
        <w:rPr>
          <w:rFonts w:ascii="Times New Roman" w:hAnsi="Times New Roman" w:cs="Times New Roman"/>
        </w:rPr>
      </w:pPr>
      <w:r>
        <w:rPr>
          <w:rFonts w:hint="eastAsia" w:ascii="Times New Roman" w:hAnsi="Times New Roman" w:cs="Times New Roman"/>
        </w:rPr>
        <w:t>请注意本文件的某些内容可能涉及专利，本文件的发布机构不承担识别这些专利的责任。</w:t>
      </w:r>
    </w:p>
    <w:p w14:paraId="0FFA25E9">
      <w:pPr>
        <w:pStyle w:val="47"/>
        <w:spacing w:line="240" w:lineRule="auto"/>
        <w:ind w:firstLine="420"/>
        <w:rPr>
          <w:rFonts w:ascii="Times New Roman" w:hAnsi="Times New Roman" w:cs="Times New Roman"/>
        </w:rPr>
      </w:pPr>
      <w:r>
        <w:rPr>
          <w:rFonts w:hint="eastAsia" w:ascii="Times New Roman" w:hAnsi="Times New Roman" w:cs="Times New Roman"/>
        </w:rPr>
        <w:t>本文件由中国水利学会归口。执行过程中如有意见或建议，请寄送至中国水利学会（地址：北京市西城区白广路二条</w:t>
      </w:r>
      <w:r>
        <w:rPr>
          <w:rFonts w:ascii="Times New Roman" w:hAnsi="Times New Roman" w:cs="Times New Roman"/>
        </w:rPr>
        <w:t>16号，邮编100053），以便今后修订时参考。</w:t>
      </w:r>
    </w:p>
    <w:p w14:paraId="4C26F2B1">
      <w:pPr>
        <w:pStyle w:val="47"/>
        <w:spacing w:line="240" w:lineRule="auto"/>
        <w:ind w:firstLine="420"/>
        <w:rPr>
          <w:rFonts w:ascii="Times New Roman" w:hAnsi="Times New Roman" w:cs="Times New Roman"/>
        </w:rPr>
      </w:pPr>
      <w:r>
        <w:rPr>
          <w:rFonts w:hint="eastAsia" w:ascii="Times New Roman" w:hAnsi="Times New Roman" w:cs="Times New Roman"/>
        </w:rPr>
        <w:t>本文件主编单位：水利部产品质量标准研究所。</w:t>
      </w:r>
    </w:p>
    <w:p w14:paraId="19958E23">
      <w:pPr>
        <w:pStyle w:val="47"/>
        <w:ind w:firstLine="420"/>
      </w:pPr>
      <w:r>
        <w:rPr>
          <w:rFonts w:hint="eastAsia" w:ascii="Times New Roman" w:hAnsi="Times New Roman" w:cs="Times New Roman"/>
        </w:rPr>
        <w:t>本文件参编单位：</w:t>
      </w:r>
      <w:bookmarkStart w:id="2" w:name="OLE_LINK33"/>
      <w:bookmarkStart w:id="3" w:name="OLE_LINK34"/>
      <w:r>
        <w:rPr>
          <w:rFonts w:hint="eastAsia"/>
        </w:rPr>
        <w:t>杭州川测信息技术有限公司、广州吉欧电子科技有限公司、南水北调中线水源有限责任公司、千寻位置网络有限公司、南水北调集团有限公司、南京水利科学研究院、广川工程咨询有限公司、广东省水利水电科学研究院、宁波弘泰水利信息科技有限公司、深圳市广汇源环境水务有限公司、浙江省钱塘江管理局勘测设计院。</w:t>
      </w:r>
      <w:bookmarkEnd w:id="2"/>
      <w:bookmarkEnd w:id="3"/>
    </w:p>
    <w:p w14:paraId="7A26E7C8">
      <w:pPr>
        <w:pStyle w:val="47"/>
        <w:spacing w:line="240" w:lineRule="auto"/>
        <w:ind w:firstLine="420"/>
      </w:pPr>
      <w:r>
        <w:rPr>
          <w:rFonts w:hint="eastAsia" w:ascii="Times New Roman" w:hAnsi="Times New Roman" w:cs="Times New Roman"/>
        </w:rPr>
        <w:t>本文件主要起草人：……</w:t>
      </w:r>
    </w:p>
    <w:p w14:paraId="4BF7DCCF">
      <w:pPr>
        <w:tabs>
          <w:tab w:val="left" w:pos="1755"/>
        </w:tabs>
        <w:adjustRightInd w:val="0"/>
        <w:snapToGrid w:val="0"/>
        <w:spacing w:line="480" w:lineRule="auto"/>
        <w:ind w:firstLine="420" w:firstLineChars="200"/>
        <w:jc w:val="left"/>
        <w:rPr>
          <w:rFonts w:ascii="Times New Roman" w:hAnsi="Times New Roman" w:cs="Times New Roman" w:eastAsiaTheme="majorEastAsia"/>
        </w:rPr>
        <w:sectPr>
          <w:footerReference r:id="rId6" w:type="default"/>
          <w:pgSz w:w="11906" w:h="16838"/>
          <w:pgMar w:top="1440" w:right="1800" w:bottom="1440" w:left="1800" w:header="851" w:footer="992" w:gutter="0"/>
          <w:pgNumType w:fmt="upperRoman"/>
          <w:cols w:space="425" w:num="1"/>
          <w:docGrid w:type="lines" w:linePitch="312" w:charSpace="0"/>
        </w:sectPr>
      </w:pPr>
      <w:r>
        <w:rPr>
          <w:rFonts w:ascii="Times New Roman" w:hAnsi="Times New Roman" w:cs="Times New Roman" w:eastAsiaTheme="majorEastAsia"/>
        </w:rPr>
        <w:tab/>
      </w:r>
    </w:p>
    <w:p w14:paraId="28096E3F">
      <w:pPr>
        <w:spacing w:after="312" w:afterLines="100"/>
        <w:jc w:val="center"/>
        <w:rPr>
          <w:rFonts w:ascii="黑体" w:hAnsi="黑体" w:eastAsia="黑体" w:cs="Times New Roman"/>
          <w:sz w:val="36"/>
          <w:szCs w:val="36"/>
        </w:rPr>
      </w:pPr>
      <w:bookmarkStart w:id="4" w:name="OLE_LINK32"/>
      <w:r>
        <w:rPr>
          <w:rFonts w:ascii="黑体" w:hAnsi="黑体" w:eastAsia="黑体" w:cs="Times New Roman"/>
          <w:sz w:val="36"/>
          <w:szCs w:val="36"/>
        </w:rPr>
        <w:t>基于北斗卫星的水利工程</w:t>
      </w:r>
      <w:r>
        <w:rPr>
          <w:rFonts w:hint="eastAsia" w:ascii="黑体" w:hAnsi="黑体" w:eastAsia="黑体" w:cs="Times New Roman"/>
          <w:sz w:val="36"/>
          <w:szCs w:val="36"/>
        </w:rPr>
        <w:t>变形</w:t>
      </w:r>
      <w:r>
        <w:rPr>
          <w:rFonts w:ascii="黑体" w:hAnsi="黑体" w:eastAsia="黑体" w:cs="Times New Roman"/>
          <w:sz w:val="36"/>
          <w:szCs w:val="36"/>
        </w:rPr>
        <w:t>监测系统技术要求</w:t>
      </w:r>
      <w:bookmarkEnd w:id="4"/>
    </w:p>
    <w:p w14:paraId="3178B572">
      <w:pPr>
        <w:pStyle w:val="4"/>
        <w:spacing w:before="0" w:after="0"/>
        <w:rPr>
          <w:rFonts w:ascii="黑体" w:hAnsi="黑体" w:eastAsia="黑体" w:cs="Times New Roman"/>
          <w:b w:val="0"/>
          <w:sz w:val="21"/>
          <w:szCs w:val="21"/>
        </w:rPr>
      </w:pPr>
      <w:bookmarkStart w:id="5" w:name="_Toc2596"/>
      <w:bookmarkStart w:id="6" w:name="_Toc18113"/>
      <w:bookmarkStart w:id="7" w:name="_Toc166316654"/>
      <w:bookmarkStart w:id="8" w:name="_Toc187827460"/>
      <w:r>
        <w:rPr>
          <w:rFonts w:ascii="黑体" w:hAnsi="黑体" w:eastAsia="黑体" w:cs="Times New Roman"/>
          <w:b w:val="0"/>
          <w:sz w:val="21"/>
          <w:szCs w:val="21"/>
        </w:rPr>
        <w:t xml:space="preserve">1  </w:t>
      </w:r>
      <w:r>
        <w:rPr>
          <w:rFonts w:hint="eastAsia" w:ascii="黑体" w:hAnsi="黑体" w:eastAsia="黑体" w:cs="Times New Roman"/>
          <w:b w:val="0"/>
          <w:sz w:val="21"/>
          <w:szCs w:val="21"/>
        </w:rPr>
        <w:t>范围</w:t>
      </w:r>
      <w:bookmarkEnd w:id="5"/>
      <w:bookmarkEnd w:id="6"/>
      <w:bookmarkEnd w:id="7"/>
      <w:bookmarkEnd w:id="8"/>
    </w:p>
    <w:p w14:paraId="30A2B251">
      <w:pPr>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本文件规定了基于北斗卫星导航定位系统的水利水电工程变形监测系统的组成、功能、系统性能</w:t>
      </w:r>
      <w:r>
        <w:rPr>
          <w:rFonts w:hint="eastAsia" w:ascii="Times New Roman" w:hAnsi="Times New Roman" w:cs="Times New Roman"/>
        </w:rPr>
        <w:t>、软件、</w:t>
      </w:r>
      <w:r>
        <w:rPr>
          <w:rFonts w:ascii="Times New Roman" w:hAnsi="Times New Roman" w:cs="Times New Roman"/>
        </w:rPr>
        <w:t>安装调试、运行维护等要求。</w:t>
      </w:r>
    </w:p>
    <w:p w14:paraId="33586977">
      <w:pPr>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本文件适用于大坝、水电站、海塘、堤防、渠道、水闸等水利工程中的基于北斗卫星导航定位系统的水利工程变形监测系统。</w:t>
      </w:r>
    </w:p>
    <w:p w14:paraId="5E577E90">
      <w:pPr>
        <w:pStyle w:val="4"/>
        <w:spacing w:before="0" w:after="0"/>
        <w:rPr>
          <w:rFonts w:ascii="黑体" w:hAnsi="黑体" w:eastAsia="黑体" w:cs="Times New Roman"/>
          <w:b w:val="0"/>
          <w:sz w:val="21"/>
          <w:szCs w:val="21"/>
        </w:rPr>
      </w:pPr>
      <w:bookmarkStart w:id="9" w:name="_Toc187827461"/>
      <w:bookmarkStart w:id="10" w:name="_Toc166316655"/>
      <w:bookmarkStart w:id="11" w:name="_Toc30330"/>
      <w:bookmarkStart w:id="12" w:name="_Toc13798"/>
      <w:r>
        <w:rPr>
          <w:rFonts w:ascii="黑体" w:hAnsi="黑体" w:eastAsia="黑体" w:cs="Times New Roman"/>
          <w:b w:val="0"/>
          <w:sz w:val="21"/>
          <w:szCs w:val="21"/>
        </w:rPr>
        <w:t xml:space="preserve">2  </w:t>
      </w:r>
      <w:r>
        <w:rPr>
          <w:rFonts w:hint="eastAsia" w:ascii="黑体" w:hAnsi="黑体" w:eastAsia="黑体" w:cs="Times New Roman"/>
          <w:b w:val="0"/>
          <w:sz w:val="21"/>
          <w:szCs w:val="21"/>
        </w:rPr>
        <w:t>规范性引用文件</w:t>
      </w:r>
      <w:bookmarkEnd w:id="9"/>
      <w:bookmarkEnd w:id="10"/>
      <w:bookmarkEnd w:id="11"/>
      <w:bookmarkEnd w:id="12"/>
    </w:p>
    <w:p w14:paraId="23CA8699">
      <w:pPr>
        <w:adjustRightInd w:val="0"/>
        <w:snapToGrid w:val="0"/>
        <w:spacing w:line="360" w:lineRule="auto"/>
        <w:ind w:firstLine="420" w:firstLineChars="200"/>
        <w:rPr>
          <w:rFonts w:ascii="Times New Roman" w:hAnsi="Times New Roman" w:cs="Times New Roman"/>
        </w:rPr>
      </w:pPr>
      <w:r>
        <w:rPr>
          <w:rFonts w:ascii="Times New Roman" w:hAnsi="Times New Roman" w:cs="Times New Roman"/>
        </w:rPr>
        <w:t>下列文件中的内容通过文中的规范性引用而构成本文件不可缺少的条款。其中，注日期的引用文件，仅该日期对应的版本适用于本文件；不注日期的引用文件，其最新版本（包括所有的修改单）适用于本文件。</w:t>
      </w:r>
    </w:p>
    <w:p w14:paraId="6F1B085C">
      <w:pPr>
        <w:pStyle w:val="2"/>
        <w:ind w:left="0" w:leftChars="0"/>
      </w:pPr>
      <w:r>
        <w:t xml:space="preserve">GB/T 2423.17  </w:t>
      </w:r>
      <w:r>
        <w:rPr>
          <w:rFonts w:hint="eastAsia"/>
        </w:rPr>
        <w:t>电工电子产品环境试验</w:t>
      </w:r>
      <w:r>
        <w:t xml:space="preserve"> </w:t>
      </w:r>
      <w:r>
        <w:rPr>
          <w:rFonts w:hint="eastAsia"/>
        </w:rPr>
        <w:t>第</w:t>
      </w:r>
      <w:r>
        <w:t xml:space="preserve">2部分:试验方法 </w:t>
      </w:r>
      <w:r>
        <w:rPr>
          <w:rFonts w:hint="eastAsia"/>
        </w:rPr>
        <w:t>试验</w:t>
      </w:r>
      <w:r>
        <w:t>Ka</w:t>
      </w:r>
      <w:r>
        <w:rPr>
          <w:rFonts w:hint="eastAsia"/>
        </w:rPr>
        <w:t>：盐雾</w:t>
      </w:r>
    </w:p>
    <w:p w14:paraId="23FA9957">
      <w:pPr>
        <w:pStyle w:val="2"/>
        <w:ind w:left="0" w:leftChars="0"/>
      </w:pPr>
      <w:r>
        <w:t xml:space="preserve">GB/T 4208—2017  </w:t>
      </w:r>
      <w:r>
        <w:rPr>
          <w:rFonts w:hint="eastAsia"/>
        </w:rPr>
        <w:t>外壳防护等级</w:t>
      </w:r>
      <w:r>
        <w:t>(IP</w:t>
      </w:r>
      <w:r>
        <w:rPr>
          <w:rFonts w:hint="eastAsia"/>
        </w:rPr>
        <w:t>代码</w:t>
      </w:r>
      <w:r>
        <w:t>)</w:t>
      </w:r>
    </w:p>
    <w:p w14:paraId="7E1D1690">
      <w:pPr>
        <w:pStyle w:val="2"/>
        <w:ind w:left="0" w:leftChars="0"/>
      </w:pPr>
      <w:r>
        <w:t xml:space="preserve">GB 7450  </w:t>
      </w:r>
      <w:r>
        <w:rPr>
          <w:rFonts w:hint="eastAsia"/>
        </w:rPr>
        <w:t>电子设备雷击保护导则</w:t>
      </w:r>
    </w:p>
    <w:p w14:paraId="5935709C">
      <w:pPr>
        <w:pStyle w:val="2"/>
        <w:ind w:left="0" w:leftChars="0"/>
      </w:pPr>
      <w:r>
        <w:rPr>
          <w:rFonts w:hint="eastAsia"/>
        </w:rPr>
        <w:t>GB/T 17626.2  电磁兼容试验和测量技术静电放电抗扰度试验</w:t>
      </w:r>
    </w:p>
    <w:p w14:paraId="67559A97">
      <w:pPr>
        <w:pStyle w:val="2"/>
        <w:ind w:left="0" w:leftChars="0"/>
      </w:pPr>
      <w:r>
        <w:rPr>
          <w:rFonts w:hint="eastAsia"/>
        </w:rPr>
        <w:t>GB/T 17626.3  电磁兼容试验和测量技术  射频电磁场辐射抗扰度试验</w:t>
      </w:r>
    </w:p>
    <w:p w14:paraId="121E1C0C">
      <w:pPr>
        <w:pStyle w:val="2"/>
        <w:ind w:left="0" w:leftChars="0"/>
      </w:pPr>
      <w:r>
        <w:rPr>
          <w:rFonts w:hint="eastAsia"/>
        </w:rPr>
        <w:t>GB/T 17626.5  电磁兼容试验和测量技术  浪涌（冲击）抗扰度试验</w:t>
      </w:r>
    </w:p>
    <w:p w14:paraId="6C095FF6">
      <w:pPr>
        <w:pStyle w:val="2"/>
        <w:ind w:left="0" w:leftChars="0"/>
      </w:pPr>
      <w:r>
        <w:rPr>
          <w:rFonts w:hint="eastAsia"/>
        </w:rPr>
        <w:t>GB/T 17626.8  电磁兼容试验和测量技术  工频磁场抗扰度试验</w:t>
      </w:r>
    </w:p>
    <w:p w14:paraId="774F3CB0">
      <w:pPr>
        <w:pStyle w:val="2"/>
        <w:ind w:left="0" w:leftChars="0"/>
      </w:pPr>
      <w:bookmarkStart w:id="13" w:name="OLE_LINK31"/>
      <w:r>
        <w:t>GB/T 39267</w:t>
      </w:r>
      <w:bookmarkEnd w:id="13"/>
      <w:r>
        <w:rPr>
          <w:rFonts w:hint="eastAsia"/>
        </w:rPr>
        <w:t>-2020  北斗卫星导航术语</w:t>
      </w:r>
      <w:r>
        <w:t xml:space="preserve"> </w:t>
      </w:r>
    </w:p>
    <w:p w14:paraId="559B038D">
      <w:pPr>
        <w:pStyle w:val="2"/>
        <w:ind w:left="0" w:leftChars="0"/>
      </w:pPr>
      <w:r>
        <w:t xml:space="preserve">GB/T 39399  </w:t>
      </w:r>
      <w:r>
        <w:rPr>
          <w:rFonts w:hint="eastAsia"/>
        </w:rPr>
        <w:t>北斗卫星导航系统测量型接收机通用规范</w:t>
      </w:r>
    </w:p>
    <w:p w14:paraId="0DA2E841">
      <w:pPr>
        <w:pStyle w:val="2"/>
        <w:ind w:left="0" w:leftChars="0"/>
      </w:pPr>
      <w:r>
        <w:t xml:space="preserve">GB 50057  </w:t>
      </w:r>
      <w:r>
        <w:rPr>
          <w:rFonts w:hint="eastAsia"/>
        </w:rPr>
        <w:t>建筑物防雷设计规范</w:t>
      </w:r>
    </w:p>
    <w:p w14:paraId="610C274D">
      <w:pPr>
        <w:pStyle w:val="2"/>
        <w:ind w:left="0" w:leftChars="0"/>
      </w:pPr>
      <w:r>
        <w:t xml:space="preserve">GB 50174  </w:t>
      </w:r>
      <w:r>
        <w:rPr>
          <w:rFonts w:hint="eastAsia"/>
        </w:rPr>
        <w:t>电子信息系统机房设计规范</w:t>
      </w:r>
    </w:p>
    <w:p w14:paraId="217DF1A4">
      <w:pPr>
        <w:pStyle w:val="2"/>
        <w:ind w:left="0" w:leftChars="0"/>
      </w:pPr>
      <w:r>
        <w:t xml:space="preserve">GB 50343  </w:t>
      </w:r>
      <w:r>
        <w:rPr>
          <w:rFonts w:hint="eastAsia"/>
        </w:rPr>
        <w:t>建筑物电子信息系统防雷技术规范</w:t>
      </w:r>
    </w:p>
    <w:p w14:paraId="4E50811A">
      <w:pPr>
        <w:pStyle w:val="2"/>
        <w:ind w:left="0" w:leftChars="0"/>
      </w:pPr>
      <w:r>
        <w:t xml:space="preserve">GB 50348  </w:t>
      </w:r>
      <w:r>
        <w:rPr>
          <w:rFonts w:hint="eastAsia"/>
        </w:rPr>
        <w:t>安全防范工程技术标准</w:t>
      </w:r>
    </w:p>
    <w:p w14:paraId="25BE5100">
      <w:pPr>
        <w:pStyle w:val="4"/>
        <w:spacing w:before="0" w:after="0"/>
        <w:rPr>
          <w:rFonts w:ascii="黑体" w:hAnsi="黑体" w:eastAsia="黑体" w:cs="Times New Roman"/>
          <w:b w:val="0"/>
          <w:sz w:val="21"/>
          <w:szCs w:val="21"/>
        </w:rPr>
      </w:pPr>
      <w:bookmarkStart w:id="14" w:name="_Toc166316656"/>
      <w:bookmarkStart w:id="15" w:name="_Toc3630"/>
      <w:bookmarkStart w:id="16" w:name="_Toc13287"/>
      <w:bookmarkStart w:id="17" w:name="_Toc187827462"/>
      <w:r>
        <w:rPr>
          <w:rFonts w:ascii="黑体" w:hAnsi="黑体" w:eastAsia="黑体" w:cs="Times New Roman"/>
          <w:b w:val="0"/>
          <w:sz w:val="21"/>
          <w:szCs w:val="21"/>
        </w:rPr>
        <w:t xml:space="preserve">3  </w:t>
      </w:r>
      <w:r>
        <w:rPr>
          <w:rFonts w:hint="eastAsia" w:ascii="黑体" w:hAnsi="黑体" w:eastAsia="黑体" w:cs="Times New Roman"/>
          <w:b w:val="0"/>
          <w:sz w:val="21"/>
          <w:szCs w:val="21"/>
        </w:rPr>
        <w:t>术语和定义</w:t>
      </w:r>
      <w:bookmarkEnd w:id="14"/>
      <w:bookmarkEnd w:id="15"/>
      <w:bookmarkEnd w:id="16"/>
      <w:bookmarkEnd w:id="17"/>
    </w:p>
    <w:p w14:paraId="223EEAB5">
      <w:pPr>
        <w:adjustRightInd w:val="0"/>
        <w:snapToGrid w:val="0"/>
        <w:spacing w:line="360" w:lineRule="auto"/>
        <w:ind w:firstLine="420" w:firstLineChars="200"/>
        <w:jc w:val="left"/>
        <w:rPr>
          <w:rFonts w:ascii="Times New Roman" w:hAnsi="Times New Roman" w:cs="Times New Roman"/>
        </w:rPr>
      </w:pPr>
      <w:r>
        <w:rPr>
          <w:rFonts w:hint="eastAsia"/>
        </w:rPr>
        <w:t>GB/T 39267-2020规定的及</w:t>
      </w:r>
      <w:r>
        <w:rPr>
          <w:rFonts w:ascii="Times New Roman" w:hAnsi="Times New Roman" w:cs="Times New Roman"/>
        </w:rPr>
        <w:t>下列术语和定义适用于本文件。</w:t>
      </w:r>
    </w:p>
    <w:p w14:paraId="4858C77D">
      <w:pPr>
        <w:adjustRightInd w:val="0"/>
        <w:snapToGrid w:val="0"/>
        <w:spacing w:line="360" w:lineRule="auto"/>
        <w:jc w:val="left"/>
        <w:rPr>
          <w:rFonts w:ascii="黑体" w:hAnsi="黑体" w:eastAsia="黑体" w:cs="Times New Roman"/>
        </w:rPr>
      </w:pPr>
      <w:r>
        <w:rPr>
          <w:rFonts w:ascii="黑体" w:hAnsi="黑体" w:eastAsia="黑体" w:cs="Times New Roman"/>
        </w:rPr>
        <w:t>3.</w:t>
      </w:r>
      <w:r>
        <w:rPr>
          <w:rFonts w:hint="eastAsia" w:ascii="黑体" w:hAnsi="黑体" w:eastAsia="黑体" w:cs="Times New Roman"/>
        </w:rPr>
        <w:t>1</w:t>
      </w:r>
    </w:p>
    <w:p w14:paraId="3E96544D">
      <w:pPr>
        <w:adjustRightInd w:val="0"/>
        <w:snapToGrid w:val="0"/>
        <w:spacing w:line="360" w:lineRule="auto"/>
        <w:ind w:firstLine="420" w:firstLineChars="200"/>
        <w:jc w:val="left"/>
        <w:rPr>
          <w:rFonts w:ascii="Times New Roman" w:hAnsi="Times New Roman" w:eastAsia="黑体" w:cs="Times New Roman"/>
        </w:rPr>
      </w:pPr>
      <w:r>
        <w:rPr>
          <w:rFonts w:hint="eastAsia" w:ascii="Times New Roman" w:hAnsi="Times New Roman" w:eastAsia="黑体" w:cs="Times New Roman"/>
        </w:rPr>
        <w:t>原始观测数</w:t>
      </w:r>
      <w:r>
        <w:rPr>
          <w:rFonts w:hint="eastAsia" w:ascii="黑体" w:hAnsi="黑体" w:eastAsia="黑体" w:cs="Times New Roman"/>
        </w:rPr>
        <w:t>据</w:t>
      </w:r>
      <w:r>
        <w:rPr>
          <w:rFonts w:ascii="黑体" w:hAnsi="黑体" w:eastAsia="黑体" w:cs="Times New Roman"/>
        </w:rPr>
        <w:t>raw observation data</w:t>
      </w:r>
    </w:p>
    <w:p w14:paraId="70B18444">
      <w:pPr>
        <w:adjustRightInd w:val="0"/>
        <w:snapToGrid w:val="0"/>
        <w:spacing w:line="360" w:lineRule="auto"/>
        <w:ind w:firstLine="420" w:firstLineChars="200"/>
        <w:jc w:val="left"/>
        <w:rPr>
          <w:rFonts w:ascii="Times New Roman" w:hAnsi="Times New Roman" w:cs="Times New Roman"/>
        </w:rPr>
      </w:pPr>
      <w:r>
        <w:rPr>
          <w:rFonts w:hint="eastAsia" w:ascii="Times New Roman" w:hAnsi="Times New Roman" w:cs="Times New Roman"/>
        </w:rPr>
        <w:t>接收机接收到导航卫星信号后所获取的载波相位、载噪比、导航电文、多普勒频移、伪距等数据。</w:t>
      </w:r>
    </w:p>
    <w:p w14:paraId="09B05D4C">
      <w:pPr>
        <w:widowControl/>
        <w:shd w:val="clear" w:color="auto" w:fill="FFFFFF"/>
        <w:spacing w:line="360" w:lineRule="atLeast"/>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3.</w:t>
      </w:r>
      <w:r>
        <w:rPr>
          <w:rFonts w:hint="eastAsia" w:ascii="Helvetica" w:hAnsi="Helvetica" w:eastAsia="宋体" w:cs="宋体"/>
          <w:spacing w:val="4"/>
          <w:kern w:val="0"/>
          <w:szCs w:val="21"/>
        </w:rPr>
        <w:t>2</w:t>
      </w:r>
      <w:r>
        <w:rPr>
          <w:rFonts w:ascii="Helvetica" w:hAnsi="Helvetica" w:eastAsia="宋体" w:cs="宋体"/>
          <w:spacing w:val="4"/>
          <w:kern w:val="0"/>
          <w:szCs w:val="21"/>
        </w:rPr>
        <w:t xml:space="preserve"> </w:t>
      </w:r>
    </w:p>
    <w:p w14:paraId="0B2156A0">
      <w:pPr>
        <w:adjustRightInd w:val="0"/>
        <w:snapToGrid w:val="0"/>
        <w:spacing w:line="360" w:lineRule="auto"/>
        <w:ind w:firstLine="420" w:firstLineChars="200"/>
        <w:jc w:val="left"/>
        <w:rPr>
          <w:rFonts w:ascii="黑体" w:hAnsi="黑体" w:eastAsia="黑体" w:cs="Times New Roman"/>
        </w:rPr>
      </w:pPr>
      <w:r>
        <w:rPr>
          <w:rFonts w:hint="eastAsia" w:ascii="黑体" w:hAnsi="黑体" w:eastAsia="黑体" w:cs="Times New Roman"/>
        </w:rPr>
        <w:t xml:space="preserve">高度截止角 elevation mask angle (elevation cut-off) </w:t>
      </w:r>
    </w:p>
    <w:p w14:paraId="7059F568">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 xml:space="preserve">接收机设置的用于信号接收或导航解算的卫星最低高度角门限。 </w:t>
      </w:r>
    </w:p>
    <w:p w14:paraId="39EAF33E">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[来源：GB/T 39267—2020</w:t>
      </w:r>
      <w:r>
        <w:rPr>
          <w:rFonts w:hint="eastAsia" w:ascii="Helvetica" w:hAnsi="Helvetica" w:eastAsia="宋体" w:cs="宋体"/>
          <w:spacing w:val="4"/>
          <w:kern w:val="0"/>
          <w:szCs w:val="21"/>
        </w:rPr>
        <w:t>，</w:t>
      </w:r>
      <w:r>
        <w:rPr>
          <w:rFonts w:ascii="Helvetica" w:hAnsi="Helvetica" w:eastAsia="宋体" w:cs="宋体"/>
          <w:spacing w:val="4"/>
          <w:kern w:val="0"/>
          <w:szCs w:val="21"/>
        </w:rPr>
        <w:t>5.3.37]</w:t>
      </w:r>
    </w:p>
    <w:p w14:paraId="302EA832">
      <w:pPr>
        <w:widowControl/>
        <w:shd w:val="clear" w:color="auto" w:fill="FFFFFF"/>
        <w:spacing w:line="360" w:lineRule="atLeast"/>
        <w:jc w:val="left"/>
        <w:textAlignment w:val="baseline"/>
        <w:rPr>
          <w:rFonts w:ascii="黑体" w:hAnsi="黑体" w:eastAsia="黑体" w:cs="Times New Roman"/>
        </w:rPr>
      </w:pPr>
      <w:r>
        <w:rPr>
          <w:rFonts w:ascii="黑体" w:hAnsi="黑体" w:eastAsia="黑体" w:cs="Times New Roman"/>
        </w:rPr>
        <w:t>3.</w:t>
      </w:r>
      <w:r>
        <w:rPr>
          <w:rFonts w:hint="eastAsia" w:ascii="黑体" w:hAnsi="黑体" w:eastAsia="黑体" w:cs="Times New Roman"/>
        </w:rPr>
        <w:t>3</w:t>
      </w:r>
      <w:r>
        <w:rPr>
          <w:rFonts w:ascii="黑体" w:hAnsi="黑体" w:eastAsia="黑体" w:cs="Times New Roman"/>
        </w:rPr>
        <w:t xml:space="preserve"> </w:t>
      </w:r>
    </w:p>
    <w:p w14:paraId="623072F5">
      <w:pPr>
        <w:widowControl/>
        <w:shd w:val="clear" w:color="auto" w:fill="FFFFFF"/>
        <w:spacing w:line="360" w:lineRule="atLeast"/>
        <w:ind w:firstLine="420" w:firstLineChars="200"/>
        <w:jc w:val="left"/>
        <w:textAlignment w:val="baseline"/>
        <w:rPr>
          <w:rFonts w:ascii="Helvetica" w:hAnsi="Helvetica" w:eastAsia="宋体" w:cs="宋体"/>
          <w:spacing w:val="4"/>
          <w:kern w:val="0"/>
          <w:szCs w:val="21"/>
        </w:rPr>
      </w:pPr>
      <w:r>
        <w:rPr>
          <w:rFonts w:hint="eastAsia" w:ascii="黑体" w:hAnsi="黑体" w:eastAsia="黑体" w:cs="Times New Roman"/>
        </w:rPr>
        <w:t>内部噪声水平</w:t>
      </w:r>
      <w:r>
        <w:rPr>
          <w:rFonts w:ascii="黑体" w:hAnsi="黑体" w:eastAsia="黑体" w:cs="Times New Roman"/>
        </w:rPr>
        <w:t xml:space="preserve"> interior noise level</w:t>
      </w:r>
      <w:r>
        <w:rPr>
          <w:rFonts w:ascii="Helvetica" w:hAnsi="Helvetica" w:eastAsia="宋体" w:cs="宋体"/>
          <w:spacing w:val="4"/>
          <w:kern w:val="0"/>
          <w:szCs w:val="21"/>
        </w:rPr>
        <w:t xml:space="preserve"> </w:t>
      </w:r>
    </w:p>
    <w:p w14:paraId="2B031D67">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由接收机通道间的随机偏差，锁相环、码跟踪环的随机偏差，以及其钟差残差等引起的测距和测相误差。</w:t>
      </w:r>
    </w:p>
    <w:p w14:paraId="09C95C93">
      <w:pPr>
        <w:widowControl/>
        <w:shd w:val="clear" w:color="auto" w:fill="FFFFFF"/>
        <w:spacing w:line="360" w:lineRule="atLeast"/>
        <w:jc w:val="left"/>
        <w:textAlignment w:val="baseline"/>
        <w:rPr>
          <w:rFonts w:ascii="黑体" w:hAnsi="黑体" w:eastAsia="黑体" w:cs="Times New Roman"/>
        </w:rPr>
      </w:pPr>
      <w:r>
        <w:rPr>
          <w:rFonts w:ascii="黑体" w:hAnsi="黑体" w:eastAsia="黑体" w:cs="Times New Roman"/>
        </w:rPr>
        <w:t>3.</w:t>
      </w:r>
      <w:r>
        <w:rPr>
          <w:rFonts w:hint="eastAsia" w:ascii="黑体" w:hAnsi="黑体" w:eastAsia="黑体" w:cs="Times New Roman"/>
        </w:rPr>
        <w:t>4</w:t>
      </w:r>
      <w:r>
        <w:rPr>
          <w:rFonts w:ascii="黑体" w:hAnsi="黑体" w:eastAsia="黑体" w:cs="Times New Roman"/>
        </w:rPr>
        <w:t xml:space="preserve"> </w:t>
      </w:r>
    </w:p>
    <w:p w14:paraId="4E1326C5">
      <w:pPr>
        <w:widowControl/>
        <w:shd w:val="clear" w:color="auto" w:fill="FFFFFF"/>
        <w:spacing w:line="360" w:lineRule="atLeast"/>
        <w:ind w:firstLine="420" w:firstLineChars="200"/>
        <w:jc w:val="left"/>
        <w:textAlignment w:val="baseline"/>
        <w:rPr>
          <w:rFonts w:ascii="Helvetica" w:hAnsi="Helvetica" w:eastAsia="宋体" w:cs="宋体"/>
          <w:spacing w:val="4"/>
          <w:kern w:val="0"/>
          <w:szCs w:val="21"/>
        </w:rPr>
      </w:pPr>
      <w:r>
        <w:rPr>
          <w:rFonts w:hint="eastAsia" w:ascii="黑体" w:hAnsi="黑体" w:eastAsia="黑体" w:cs="Times New Roman"/>
        </w:rPr>
        <w:t>观测时段</w:t>
      </w:r>
      <w:r>
        <w:rPr>
          <w:rFonts w:ascii="黑体" w:hAnsi="黑体" w:eastAsia="黑体" w:cs="Times New Roman"/>
        </w:rPr>
        <w:t xml:space="preserve"> observation session</w:t>
      </w:r>
      <w:r>
        <w:rPr>
          <w:rFonts w:ascii="Helvetica" w:hAnsi="Helvetica" w:eastAsia="宋体" w:cs="宋体"/>
          <w:spacing w:val="4"/>
          <w:kern w:val="0"/>
          <w:szCs w:val="21"/>
        </w:rPr>
        <w:t xml:space="preserve"> </w:t>
      </w:r>
    </w:p>
    <w:p w14:paraId="602A5A7D">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 xml:space="preserve">观测站上接收机从开始记录观测数据到停止记录的时间段。 </w:t>
      </w:r>
    </w:p>
    <w:p w14:paraId="127FD3F3">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[来源：GB/T 39267-2020</w:t>
      </w:r>
      <w:r>
        <w:rPr>
          <w:rFonts w:hint="eastAsia" w:ascii="Helvetica" w:hAnsi="Helvetica" w:eastAsia="宋体" w:cs="宋体"/>
          <w:spacing w:val="4"/>
          <w:kern w:val="0"/>
          <w:szCs w:val="21"/>
        </w:rPr>
        <w:t>，</w:t>
      </w:r>
      <w:r>
        <w:rPr>
          <w:rFonts w:ascii="Helvetica" w:hAnsi="Helvetica" w:eastAsia="宋体" w:cs="宋体"/>
          <w:spacing w:val="4"/>
          <w:kern w:val="0"/>
          <w:szCs w:val="21"/>
        </w:rPr>
        <w:t>5.3.39]</w:t>
      </w:r>
    </w:p>
    <w:p w14:paraId="57527557">
      <w:pPr>
        <w:widowControl/>
        <w:shd w:val="clear" w:color="auto" w:fill="FFFFFF"/>
        <w:spacing w:line="360" w:lineRule="atLeast"/>
        <w:jc w:val="left"/>
        <w:textAlignment w:val="baseline"/>
        <w:rPr>
          <w:rFonts w:ascii="黑体" w:hAnsi="黑体" w:eastAsia="黑体" w:cs="Times New Roman"/>
        </w:rPr>
      </w:pPr>
      <w:r>
        <w:rPr>
          <w:rFonts w:ascii="黑体" w:hAnsi="黑体" w:eastAsia="黑体" w:cs="Times New Roman"/>
        </w:rPr>
        <w:t>3.</w:t>
      </w:r>
      <w:r>
        <w:rPr>
          <w:rFonts w:hint="eastAsia" w:ascii="黑体" w:hAnsi="黑体" w:eastAsia="黑体" w:cs="Times New Roman"/>
        </w:rPr>
        <w:t>5</w:t>
      </w:r>
      <w:r>
        <w:rPr>
          <w:rFonts w:ascii="黑体" w:hAnsi="黑体" w:eastAsia="黑体" w:cs="Times New Roman"/>
        </w:rPr>
        <w:t xml:space="preserve"> </w:t>
      </w:r>
    </w:p>
    <w:p w14:paraId="45EED4F5">
      <w:pPr>
        <w:widowControl/>
        <w:shd w:val="clear" w:color="auto" w:fill="FFFFFF"/>
        <w:spacing w:line="360" w:lineRule="atLeast"/>
        <w:ind w:firstLine="420" w:firstLineChars="200"/>
        <w:jc w:val="left"/>
        <w:textAlignment w:val="baseline"/>
        <w:rPr>
          <w:rFonts w:ascii="Helvetica" w:hAnsi="Helvetica" w:eastAsia="宋体" w:cs="宋体"/>
          <w:spacing w:val="4"/>
          <w:kern w:val="0"/>
          <w:szCs w:val="21"/>
        </w:rPr>
      </w:pPr>
      <w:r>
        <w:rPr>
          <w:rFonts w:hint="eastAsia" w:ascii="黑体" w:hAnsi="黑体" w:eastAsia="黑体" w:cs="Times New Roman"/>
        </w:rPr>
        <w:t>天线</w:t>
      </w:r>
      <w:r>
        <w:rPr>
          <w:rFonts w:ascii="黑体" w:hAnsi="黑体" w:eastAsia="黑体" w:cs="Times New Roman"/>
        </w:rPr>
        <w:t xml:space="preserve"> antenna</w:t>
      </w:r>
      <w:r>
        <w:rPr>
          <w:rFonts w:ascii="Helvetica" w:hAnsi="Helvetica" w:eastAsia="宋体" w:cs="宋体"/>
          <w:spacing w:val="4"/>
          <w:kern w:val="0"/>
          <w:szCs w:val="21"/>
        </w:rPr>
        <w:t xml:space="preserve"> </w:t>
      </w:r>
    </w:p>
    <w:p w14:paraId="23578E0D">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能够有效地向空间辐射或者从空间接收无线电波的装置。</w:t>
      </w:r>
    </w:p>
    <w:p w14:paraId="4DF9FB2C">
      <w:pPr>
        <w:widowControl/>
        <w:shd w:val="clear" w:color="auto" w:fill="FFFFFF"/>
        <w:spacing w:line="360" w:lineRule="atLeast"/>
        <w:jc w:val="left"/>
        <w:textAlignment w:val="baseline"/>
        <w:rPr>
          <w:rFonts w:ascii="黑体" w:hAnsi="黑体" w:eastAsia="黑体" w:cs="Times New Roman"/>
        </w:rPr>
      </w:pPr>
      <w:r>
        <w:rPr>
          <w:rFonts w:ascii="黑体" w:hAnsi="黑体" w:eastAsia="黑体" w:cs="Times New Roman"/>
        </w:rPr>
        <w:t>3.</w:t>
      </w:r>
      <w:r>
        <w:rPr>
          <w:rFonts w:hint="eastAsia" w:ascii="黑体" w:hAnsi="黑体" w:eastAsia="黑体" w:cs="Times New Roman"/>
        </w:rPr>
        <w:t>6</w:t>
      </w:r>
      <w:r>
        <w:rPr>
          <w:rFonts w:ascii="黑体" w:hAnsi="黑体" w:eastAsia="黑体" w:cs="Times New Roman"/>
        </w:rPr>
        <w:t xml:space="preserve"> </w:t>
      </w:r>
    </w:p>
    <w:p w14:paraId="230F9C9D">
      <w:pPr>
        <w:widowControl/>
        <w:shd w:val="clear" w:color="auto" w:fill="FFFFFF"/>
        <w:spacing w:line="360" w:lineRule="atLeast"/>
        <w:ind w:firstLine="420" w:firstLineChars="200"/>
        <w:jc w:val="left"/>
        <w:textAlignment w:val="baseline"/>
        <w:rPr>
          <w:rFonts w:ascii="Helvetica" w:hAnsi="Helvetica" w:eastAsia="宋体" w:cs="宋体"/>
          <w:spacing w:val="4"/>
          <w:kern w:val="0"/>
          <w:szCs w:val="21"/>
        </w:rPr>
      </w:pPr>
      <w:r>
        <w:rPr>
          <w:rFonts w:hint="eastAsia" w:ascii="黑体" w:hAnsi="黑体" w:eastAsia="黑体" w:cs="Times New Roman"/>
        </w:rPr>
        <w:t>扼流圈天线</w:t>
      </w:r>
      <w:r>
        <w:rPr>
          <w:rFonts w:ascii="黑体" w:hAnsi="黑体" w:eastAsia="黑体" w:cs="Times New Roman"/>
        </w:rPr>
        <w:t xml:space="preserve"> choke ring antenna</w:t>
      </w:r>
      <w:r>
        <w:rPr>
          <w:rFonts w:ascii="Helvetica" w:hAnsi="Helvetica" w:eastAsia="宋体" w:cs="宋体"/>
          <w:spacing w:val="4"/>
          <w:kern w:val="0"/>
          <w:szCs w:val="21"/>
        </w:rPr>
        <w:t xml:space="preserve"> </w:t>
      </w:r>
    </w:p>
    <w:p w14:paraId="2C0FE75F">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 xml:space="preserve">一种带有多路径抑制槽、可以消除/减弱多路径效应影响的 GNSS接收机专用天线，一般用于高精度 GNSS测量。 </w:t>
      </w:r>
    </w:p>
    <w:p w14:paraId="47082E8B">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[来源：GB/T 39267-2020</w:t>
      </w:r>
      <w:r>
        <w:rPr>
          <w:rFonts w:hint="eastAsia" w:ascii="Helvetica" w:hAnsi="Helvetica" w:eastAsia="宋体" w:cs="宋体"/>
          <w:spacing w:val="4"/>
          <w:kern w:val="0"/>
          <w:szCs w:val="21"/>
        </w:rPr>
        <w:t>，</w:t>
      </w:r>
      <w:r>
        <w:rPr>
          <w:rFonts w:ascii="Helvetica" w:hAnsi="Helvetica" w:eastAsia="宋体" w:cs="宋体"/>
          <w:spacing w:val="4"/>
          <w:kern w:val="0"/>
          <w:szCs w:val="21"/>
        </w:rPr>
        <w:t>5.4.4]</w:t>
      </w:r>
    </w:p>
    <w:p w14:paraId="26910999">
      <w:pPr>
        <w:widowControl/>
        <w:shd w:val="clear" w:color="auto" w:fill="FFFFFF"/>
        <w:spacing w:line="360" w:lineRule="atLeast"/>
        <w:jc w:val="left"/>
        <w:textAlignment w:val="baseline"/>
        <w:rPr>
          <w:rFonts w:ascii="黑体" w:hAnsi="黑体" w:eastAsia="黑体" w:cs="Times New Roman"/>
        </w:rPr>
      </w:pPr>
      <w:r>
        <w:rPr>
          <w:rFonts w:ascii="黑体" w:hAnsi="黑体" w:eastAsia="黑体" w:cs="Times New Roman"/>
        </w:rPr>
        <w:t>3.</w:t>
      </w:r>
      <w:r>
        <w:rPr>
          <w:rFonts w:hint="eastAsia" w:ascii="黑体" w:hAnsi="黑体" w:eastAsia="黑体" w:cs="Times New Roman"/>
        </w:rPr>
        <w:t>7</w:t>
      </w:r>
      <w:r>
        <w:rPr>
          <w:rFonts w:ascii="黑体" w:hAnsi="黑体" w:eastAsia="黑体" w:cs="Times New Roman"/>
        </w:rPr>
        <w:t xml:space="preserve"> </w:t>
      </w:r>
    </w:p>
    <w:p w14:paraId="1221F1CE">
      <w:pPr>
        <w:widowControl/>
        <w:shd w:val="clear" w:color="auto" w:fill="FFFFFF"/>
        <w:spacing w:line="360" w:lineRule="atLeast"/>
        <w:ind w:firstLine="420" w:firstLineChars="200"/>
        <w:jc w:val="left"/>
        <w:textAlignment w:val="baseline"/>
        <w:rPr>
          <w:rFonts w:ascii="Helvetica" w:hAnsi="Helvetica" w:eastAsia="宋体" w:cs="宋体"/>
          <w:spacing w:val="4"/>
          <w:kern w:val="0"/>
          <w:szCs w:val="21"/>
        </w:rPr>
      </w:pPr>
      <w:r>
        <w:rPr>
          <w:rFonts w:hint="eastAsia" w:ascii="黑体" w:hAnsi="黑体" w:eastAsia="黑体" w:cs="Times New Roman"/>
        </w:rPr>
        <w:t>相位中心偏差</w:t>
      </w:r>
      <w:r>
        <w:rPr>
          <w:rFonts w:ascii="黑体" w:hAnsi="黑体" w:eastAsia="黑体" w:cs="Times New Roman"/>
        </w:rPr>
        <w:t xml:space="preserve"> phase center offset</w:t>
      </w:r>
    </w:p>
    <w:p w14:paraId="6BDFBD7B">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 xml:space="preserve">PCO 天线平均相位中心与天线参考点(ARP)间的偏差。 </w:t>
      </w:r>
    </w:p>
    <w:p w14:paraId="27BEF09F">
      <w:pPr>
        <w:widowControl/>
        <w:shd w:val="clear" w:color="auto" w:fill="FFFFFF"/>
        <w:spacing w:line="360" w:lineRule="atLeast"/>
        <w:ind w:firstLine="436" w:firstLineChars="200"/>
        <w:jc w:val="left"/>
        <w:textAlignment w:val="baseline"/>
        <w:rPr>
          <w:rFonts w:ascii="Helvetica" w:hAnsi="Helvetica" w:eastAsia="宋体" w:cs="宋体"/>
          <w:spacing w:val="4"/>
          <w:kern w:val="0"/>
          <w:szCs w:val="21"/>
        </w:rPr>
      </w:pPr>
      <w:r>
        <w:rPr>
          <w:rFonts w:ascii="Helvetica" w:hAnsi="Helvetica" w:eastAsia="宋体" w:cs="宋体"/>
          <w:spacing w:val="4"/>
          <w:kern w:val="0"/>
          <w:szCs w:val="21"/>
        </w:rPr>
        <w:t>[来源：GB/T 39267-2020</w:t>
      </w:r>
      <w:r>
        <w:rPr>
          <w:rFonts w:hint="eastAsia" w:ascii="Helvetica" w:hAnsi="Helvetica" w:eastAsia="宋体" w:cs="宋体"/>
          <w:spacing w:val="4"/>
          <w:kern w:val="0"/>
          <w:szCs w:val="21"/>
        </w:rPr>
        <w:t>，</w:t>
      </w:r>
      <w:r>
        <w:rPr>
          <w:rFonts w:ascii="Helvetica" w:hAnsi="Helvetica" w:eastAsia="宋体" w:cs="宋体"/>
          <w:spacing w:val="4"/>
          <w:kern w:val="0"/>
          <w:szCs w:val="21"/>
        </w:rPr>
        <w:t>5.4.15]</w:t>
      </w:r>
    </w:p>
    <w:p w14:paraId="330B816A">
      <w:pPr>
        <w:pStyle w:val="2"/>
      </w:pPr>
    </w:p>
    <w:p w14:paraId="256E57EA">
      <w:pPr>
        <w:pStyle w:val="4"/>
        <w:spacing w:before="0" w:after="0"/>
        <w:rPr>
          <w:rFonts w:ascii="Times New Roman" w:hAnsi="Times New Roman" w:eastAsia="黑体" w:cs="Times New Roman"/>
          <w:b w:val="0"/>
          <w:sz w:val="21"/>
          <w:szCs w:val="21"/>
        </w:rPr>
      </w:pPr>
      <w:bookmarkStart w:id="18" w:name="_Toc644"/>
      <w:bookmarkStart w:id="19" w:name="_Toc166316657"/>
      <w:bookmarkStart w:id="20" w:name="_Toc187827463"/>
      <w:bookmarkStart w:id="21" w:name="_Toc289"/>
      <w:r>
        <w:rPr>
          <w:rFonts w:ascii="Times New Roman" w:hAnsi="Times New Roman" w:eastAsia="黑体" w:cs="Times New Roman"/>
          <w:b w:val="0"/>
          <w:sz w:val="21"/>
          <w:szCs w:val="21"/>
        </w:rPr>
        <w:t>4  结构和功能</w:t>
      </w:r>
      <w:bookmarkEnd w:id="18"/>
      <w:bookmarkEnd w:id="19"/>
      <w:bookmarkEnd w:id="20"/>
      <w:bookmarkEnd w:id="21"/>
    </w:p>
    <w:p w14:paraId="384C4913">
      <w:pPr>
        <w:pStyle w:val="5"/>
        <w:spacing w:before="0" w:after="0" w:line="360" w:lineRule="auto"/>
        <w:rPr>
          <w:rFonts w:ascii="黑体" w:hAnsi="黑体" w:eastAsia="黑体" w:cs="Times New Roman"/>
          <w:b w:val="0"/>
          <w:szCs w:val="21"/>
        </w:rPr>
      </w:pPr>
      <w:bookmarkStart w:id="22" w:name="_Toc187827464"/>
      <w:bookmarkStart w:id="23" w:name="_Toc166316658"/>
      <w:bookmarkStart w:id="24" w:name="_Toc5994"/>
      <w:bookmarkStart w:id="25" w:name="_Toc11795"/>
      <w:r>
        <w:rPr>
          <w:rFonts w:ascii="黑体" w:hAnsi="黑体" w:eastAsia="黑体" w:cs="Times New Roman"/>
          <w:b w:val="0"/>
          <w:sz w:val="21"/>
          <w:szCs w:val="21"/>
        </w:rPr>
        <w:t xml:space="preserve">4.1  </w:t>
      </w:r>
      <w:r>
        <w:rPr>
          <w:rFonts w:hint="eastAsia" w:ascii="黑体" w:hAnsi="黑体" w:eastAsia="黑体" w:cs="Times New Roman"/>
          <w:b w:val="0"/>
          <w:sz w:val="21"/>
          <w:szCs w:val="21"/>
        </w:rPr>
        <w:t>结构</w:t>
      </w:r>
      <w:bookmarkEnd w:id="22"/>
    </w:p>
    <w:bookmarkEnd w:id="23"/>
    <w:bookmarkEnd w:id="24"/>
    <w:bookmarkEnd w:id="25"/>
    <w:p w14:paraId="29354B21">
      <w:pPr>
        <w:spacing w:line="360" w:lineRule="auto"/>
      </w:pPr>
      <w:r>
        <w:rPr>
          <w:rFonts w:hint="eastAsia"/>
        </w:rPr>
        <w:t xml:space="preserve">4.1.1  </w:t>
      </w:r>
      <w:bookmarkStart w:id="26" w:name="OLE_LINK40"/>
      <w:bookmarkStart w:id="27" w:name="OLE_LINK39"/>
      <w:r>
        <w:rPr>
          <w:rFonts w:hint="eastAsia"/>
        </w:rPr>
        <w:t>北斗变形监测系统</w:t>
      </w:r>
      <w:bookmarkEnd w:id="26"/>
      <w:bookmarkEnd w:id="27"/>
      <w:r>
        <w:rPr>
          <w:rFonts w:hint="eastAsia"/>
        </w:rPr>
        <w:t>应由数据采集、数据中心、供电和通信等部分组成。各部分功能和组成如下：</w:t>
      </w:r>
    </w:p>
    <w:p w14:paraId="36A8FE96">
      <w:pPr>
        <w:spacing w:line="360" w:lineRule="auto"/>
        <w:ind w:firstLine="420" w:firstLineChars="200"/>
      </w:pPr>
      <w:r>
        <w:rPr>
          <w:rFonts w:hint="eastAsia"/>
        </w:rPr>
        <w:t>——数据采集部分用于采集北斗原始数据，由北斗基准站和北斗监测站组成。</w:t>
      </w:r>
    </w:p>
    <w:p w14:paraId="79C8DCEE">
      <w:pPr>
        <w:spacing w:line="360" w:lineRule="auto"/>
        <w:ind w:firstLine="420" w:firstLineChars="200"/>
      </w:pPr>
      <w:r>
        <w:rPr>
          <w:rFonts w:hint="eastAsia"/>
        </w:rPr>
        <w:t>——数据中心用于接收、存储、处理和分析基准站、监测站的北斗数据。</w:t>
      </w:r>
    </w:p>
    <w:p w14:paraId="7660CAD0">
      <w:pPr>
        <w:spacing w:line="360" w:lineRule="auto"/>
        <w:ind w:firstLine="420" w:firstLineChars="200"/>
      </w:pPr>
      <w:r>
        <w:rPr>
          <w:rFonts w:hint="eastAsia"/>
        </w:rPr>
        <w:t>——供电部分用于向基准站、监测站、数据中心供电。</w:t>
      </w:r>
    </w:p>
    <w:p w14:paraId="14317096">
      <w:pPr>
        <w:spacing w:line="360" w:lineRule="auto"/>
        <w:ind w:firstLine="420" w:firstLineChars="200"/>
        <w:rPr>
          <w:rFonts w:cs="Times New Roman" w:asciiTheme="minorEastAsia" w:hAnsiTheme="minorEastAsia"/>
          <w:kern w:val="0"/>
          <w:szCs w:val="21"/>
        </w:rPr>
      </w:pPr>
      <w:r>
        <w:rPr>
          <w:rFonts w:hint="eastAsia"/>
        </w:rPr>
        <w:t>——通信部分用于基准站、监测站、控制中心之间的数据通信。</w:t>
      </w:r>
    </w:p>
    <w:p w14:paraId="0C43C61F">
      <w:pPr>
        <w:pStyle w:val="28"/>
        <w:spacing w:before="156" w:after="156"/>
        <w:ind w:firstLine="0" w:firstLineChars="0"/>
      </w:pPr>
      <w:r>
        <w:rPr>
          <w:rFonts w:hint="eastAsia"/>
        </w:rPr>
        <w:t>4.1.3  基准站和监测站设备可分为：</w:t>
      </w:r>
      <w:r>
        <w:t xml:space="preserve"> </w:t>
      </w:r>
    </w:p>
    <w:p w14:paraId="5D0B1E2C">
      <w:pPr>
        <w:pStyle w:val="28"/>
        <w:spacing w:before="156" w:after="156"/>
      </w:pPr>
      <w:r>
        <w:rPr>
          <w:rFonts w:hint="eastAsia"/>
        </w:rPr>
        <w:t>a</w:t>
      </w:r>
      <w:r>
        <w:t xml:space="preserve">) </w:t>
      </w:r>
      <w:r>
        <w:rPr>
          <w:rFonts w:hint="eastAsia"/>
        </w:rPr>
        <w:t>北斗接收机；</w:t>
      </w:r>
    </w:p>
    <w:p w14:paraId="1403DB3A">
      <w:pPr>
        <w:pStyle w:val="28"/>
        <w:spacing w:before="156" w:after="156"/>
      </w:pPr>
      <w:r>
        <w:rPr>
          <w:rFonts w:hint="eastAsia"/>
        </w:rPr>
        <w:t>b</w:t>
      </w:r>
      <w:r>
        <w:t xml:space="preserve">) </w:t>
      </w:r>
      <w:r>
        <w:rPr>
          <w:rFonts w:hint="eastAsia"/>
        </w:rPr>
        <w:t>北斗天线；</w:t>
      </w:r>
    </w:p>
    <w:p w14:paraId="645D4326">
      <w:pPr>
        <w:pStyle w:val="28"/>
        <w:spacing w:before="156" w:after="156"/>
      </w:pPr>
      <w:r>
        <w:rPr>
          <w:rFonts w:hint="eastAsia"/>
        </w:rPr>
        <w:t>c</w:t>
      </w:r>
      <w:r>
        <w:t xml:space="preserve">) </w:t>
      </w:r>
      <w:r>
        <w:rPr>
          <w:rFonts w:hint="eastAsia"/>
        </w:rPr>
        <w:t>网络通信设备；</w:t>
      </w:r>
    </w:p>
    <w:p w14:paraId="5BD72C3B">
      <w:pPr>
        <w:pStyle w:val="28"/>
        <w:spacing w:before="156" w:after="156"/>
      </w:pPr>
      <w:r>
        <w:rPr>
          <w:rFonts w:hint="eastAsia"/>
        </w:rPr>
        <w:t>d</w:t>
      </w:r>
      <w:r>
        <w:t xml:space="preserve">) </w:t>
      </w:r>
      <w:r>
        <w:rPr>
          <w:rFonts w:hint="eastAsia"/>
        </w:rPr>
        <w:t>雷电防护设备；</w:t>
      </w:r>
    </w:p>
    <w:p w14:paraId="6D239527">
      <w:pPr>
        <w:pStyle w:val="28"/>
        <w:spacing w:before="156" w:after="156"/>
      </w:pPr>
      <w:r>
        <w:rPr>
          <w:rFonts w:hint="eastAsia"/>
        </w:rPr>
        <w:t>e</w:t>
      </w:r>
      <w:r>
        <w:t xml:space="preserve">) </w:t>
      </w:r>
      <w:r>
        <w:rPr>
          <w:rFonts w:hint="eastAsia"/>
        </w:rPr>
        <w:t>电源供电设备；</w:t>
      </w:r>
    </w:p>
    <w:p w14:paraId="749AA584">
      <w:pPr>
        <w:pStyle w:val="28"/>
        <w:spacing w:before="156" w:after="156"/>
      </w:pPr>
      <w:r>
        <w:rPr>
          <w:rFonts w:hint="eastAsia"/>
        </w:rPr>
        <w:t>f</w:t>
      </w:r>
      <w:r>
        <w:t xml:space="preserve">) </w:t>
      </w:r>
      <w:r>
        <w:rPr>
          <w:rFonts w:hint="eastAsia"/>
        </w:rPr>
        <w:t>仪器箱。</w:t>
      </w:r>
    </w:p>
    <w:p w14:paraId="1189630D">
      <w:pPr>
        <w:pStyle w:val="28"/>
        <w:spacing w:before="156" w:after="156"/>
        <w:ind w:firstLine="0" w:firstLineChars="0"/>
      </w:pPr>
      <w:r>
        <w:rPr>
          <w:rFonts w:hint="eastAsia"/>
        </w:rPr>
        <w:t>4.1.4  数据中心设备可分为：</w:t>
      </w:r>
    </w:p>
    <w:p w14:paraId="551C2DE2">
      <w:pPr>
        <w:pStyle w:val="28"/>
        <w:spacing w:before="156" w:after="156"/>
      </w:pPr>
      <w:r>
        <w:rPr>
          <w:rFonts w:hint="eastAsia"/>
        </w:rPr>
        <w:t>a</w:t>
      </w:r>
      <w:r>
        <w:t xml:space="preserve">) </w:t>
      </w:r>
      <w:r>
        <w:rPr>
          <w:rFonts w:hint="eastAsia"/>
        </w:rPr>
        <w:t>计算机；</w:t>
      </w:r>
    </w:p>
    <w:p w14:paraId="2F40E167">
      <w:pPr>
        <w:pStyle w:val="28"/>
        <w:spacing w:before="156" w:after="156"/>
      </w:pPr>
      <w:r>
        <w:rPr>
          <w:rFonts w:hint="eastAsia"/>
        </w:rPr>
        <w:t>b</w:t>
      </w:r>
      <w:r>
        <w:t xml:space="preserve">) </w:t>
      </w:r>
      <w:r>
        <w:rPr>
          <w:rFonts w:hint="eastAsia"/>
        </w:rPr>
        <w:t>数据采集管理软件；</w:t>
      </w:r>
    </w:p>
    <w:p w14:paraId="54551FA2">
      <w:pPr>
        <w:pStyle w:val="28"/>
        <w:spacing w:before="156" w:after="156"/>
      </w:pPr>
      <w:r>
        <w:rPr>
          <w:rFonts w:hint="eastAsia"/>
        </w:rPr>
        <w:t>c</w:t>
      </w:r>
      <w:r>
        <w:t xml:space="preserve">) </w:t>
      </w:r>
      <w:r>
        <w:rPr>
          <w:rFonts w:hint="eastAsia"/>
        </w:rPr>
        <w:t>电源供电设备（包括不间断电源）；</w:t>
      </w:r>
    </w:p>
    <w:p w14:paraId="58113358">
      <w:pPr>
        <w:pStyle w:val="28"/>
        <w:spacing w:before="156" w:after="156"/>
      </w:pPr>
      <w:r>
        <w:rPr>
          <w:rFonts w:hint="eastAsia"/>
        </w:rPr>
        <w:t>d</w:t>
      </w:r>
      <w:r>
        <w:t xml:space="preserve">) </w:t>
      </w:r>
      <w:r>
        <w:rPr>
          <w:rFonts w:hint="eastAsia"/>
        </w:rPr>
        <w:t>通信设备；</w:t>
      </w:r>
    </w:p>
    <w:p w14:paraId="6DA95314">
      <w:pPr>
        <w:pStyle w:val="28"/>
        <w:spacing w:before="156" w:after="156"/>
      </w:pPr>
      <w:r>
        <w:rPr>
          <w:rFonts w:hint="eastAsia"/>
        </w:rPr>
        <w:t>e</w:t>
      </w:r>
      <w:r>
        <w:t>)</w:t>
      </w:r>
      <w:r>
        <w:rPr>
          <w:rFonts w:hint="eastAsia"/>
        </w:rPr>
        <w:t xml:space="preserve"> 雷电防护设备；</w:t>
      </w:r>
    </w:p>
    <w:p w14:paraId="5896B184">
      <w:pPr>
        <w:pStyle w:val="28"/>
        <w:spacing w:before="156" w:after="156"/>
      </w:pPr>
      <w:r>
        <w:rPr>
          <w:rFonts w:hint="eastAsia"/>
        </w:rPr>
        <w:t>f</w:t>
      </w:r>
      <w:r>
        <w:t xml:space="preserve">) </w:t>
      </w:r>
      <w:r>
        <w:rPr>
          <w:rFonts w:hint="eastAsia"/>
        </w:rPr>
        <w:t>机柜。</w:t>
      </w:r>
    </w:p>
    <w:p w14:paraId="710AA60B">
      <w:pPr>
        <w:pStyle w:val="5"/>
        <w:spacing w:before="0" w:after="0" w:line="360" w:lineRule="auto"/>
        <w:rPr>
          <w:rFonts w:ascii="黑体" w:hAnsi="黑体" w:eastAsia="黑体" w:cs="Times New Roman"/>
          <w:szCs w:val="21"/>
        </w:rPr>
      </w:pPr>
      <w:bookmarkStart w:id="28" w:name="_Toc187827465"/>
      <w:r>
        <w:rPr>
          <w:rFonts w:ascii="黑体" w:hAnsi="黑体" w:eastAsia="黑体" w:cs="Times New Roman"/>
          <w:b w:val="0"/>
          <w:sz w:val="21"/>
          <w:szCs w:val="21"/>
        </w:rPr>
        <w:t xml:space="preserve">4.2  </w:t>
      </w:r>
      <w:r>
        <w:rPr>
          <w:rFonts w:hint="eastAsia" w:ascii="黑体" w:hAnsi="黑体" w:eastAsia="黑体" w:cs="Times New Roman"/>
          <w:b w:val="0"/>
          <w:sz w:val="21"/>
          <w:szCs w:val="21"/>
        </w:rPr>
        <w:t>功能</w:t>
      </w:r>
      <w:bookmarkEnd w:id="28"/>
    </w:p>
    <w:p w14:paraId="69672455">
      <w:pPr>
        <w:spacing w:line="360" w:lineRule="auto"/>
        <w:rPr>
          <w:rFonts w:cs="Times New Roman" w:asciiTheme="majorEastAsia" w:hAnsiTheme="majorEastAsia" w:eastAsiaTheme="majorEastAsia"/>
          <w:kern w:val="0"/>
          <w:szCs w:val="21"/>
        </w:rPr>
      </w:pPr>
      <w:bookmarkStart w:id="29" w:name="_Toc27214"/>
      <w:bookmarkStart w:id="30" w:name="_Toc166316659"/>
      <w:bookmarkStart w:id="31" w:name="_Toc22068"/>
      <w:r>
        <w:rPr>
          <w:rFonts w:cs="Times New Roman" w:asciiTheme="majorEastAsia" w:hAnsiTheme="majorEastAsia" w:eastAsiaTheme="majorEastAsia"/>
          <w:kern w:val="0"/>
          <w:szCs w:val="21"/>
        </w:rPr>
        <w:t>4.</w:t>
      </w:r>
      <w:r>
        <w:rPr>
          <w:rFonts w:hint="eastAsia" w:cs="Times New Roman" w:asciiTheme="majorEastAsia" w:hAnsiTheme="majorEastAsia" w:eastAsiaTheme="majorEastAsia"/>
          <w:kern w:val="0"/>
          <w:szCs w:val="21"/>
        </w:rPr>
        <w:t>2</w:t>
      </w:r>
      <w:r>
        <w:rPr>
          <w:rFonts w:cs="Times New Roman" w:asciiTheme="majorEastAsia" w:hAnsiTheme="majorEastAsia" w:eastAsiaTheme="majorEastAsia"/>
          <w:kern w:val="0"/>
          <w:szCs w:val="21"/>
        </w:rPr>
        <w:t xml:space="preserve">.1  </w:t>
      </w:r>
      <w:r>
        <w:rPr>
          <w:rFonts w:hint="eastAsia" w:cs="Times New Roman" w:asciiTheme="majorEastAsia" w:hAnsiTheme="majorEastAsia" w:eastAsiaTheme="majorEastAsia"/>
          <w:kern w:val="0"/>
          <w:szCs w:val="21"/>
        </w:rPr>
        <w:t>基准站和监测站应具备下列功能：</w:t>
      </w:r>
    </w:p>
    <w:p w14:paraId="18EAA9C8">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实时接收、存储</w:t>
      </w:r>
      <w:r>
        <w:rPr>
          <w:rFonts w:cs="Times New Roman" w:asciiTheme="minorEastAsia" w:hAnsiTheme="minorEastAsia"/>
          <w:kern w:val="0"/>
          <w:szCs w:val="21"/>
        </w:rPr>
        <w:t>BDS</w:t>
      </w:r>
      <w:r>
        <w:rPr>
          <w:rFonts w:hint="eastAsia" w:cs="Times New Roman" w:asciiTheme="minorEastAsia" w:hAnsiTheme="minorEastAsia"/>
          <w:kern w:val="0"/>
          <w:szCs w:val="21"/>
        </w:rPr>
        <w:t>原始观测数据，并能够至少同时接收、存储</w:t>
      </w:r>
      <w:r>
        <w:rPr>
          <w:rFonts w:cs="Times New Roman" w:asciiTheme="minorEastAsia" w:hAnsiTheme="minorEastAsia"/>
          <w:kern w:val="0"/>
          <w:szCs w:val="21"/>
        </w:rPr>
        <w:t>GPS</w:t>
      </w:r>
      <w:r>
        <w:rPr>
          <w:rFonts w:hint="eastAsia" w:cs="Times New Roman" w:asciiTheme="minorEastAsia" w:hAnsiTheme="minorEastAsia"/>
          <w:kern w:val="0"/>
          <w:szCs w:val="21"/>
        </w:rPr>
        <w:t>、</w:t>
      </w:r>
      <w:r>
        <w:rPr>
          <w:rFonts w:cs="Times New Roman" w:asciiTheme="minorEastAsia" w:hAnsiTheme="minorEastAsia"/>
          <w:kern w:val="0"/>
          <w:szCs w:val="21"/>
        </w:rPr>
        <w:t>GLONASS</w:t>
      </w:r>
      <w:r>
        <w:rPr>
          <w:rFonts w:hint="eastAsia" w:cs="Times New Roman" w:asciiTheme="minorEastAsia" w:hAnsiTheme="minorEastAsia"/>
          <w:kern w:val="0"/>
          <w:szCs w:val="21"/>
        </w:rPr>
        <w:t>、GALILEO、</w:t>
      </w:r>
      <w:r>
        <w:rPr>
          <w:rFonts w:cs="Times New Roman" w:asciiTheme="minorEastAsia" w:hAnsiTheme="minorEastAsia"/>
          <w:kern w:val="0"/>
          <w:szCs w:val="21"/>
        </w:rPr>
        <w:t>NavIC</w:t>
      </w:r>
      <w:r>
        <w:rPr>
          <w:rFonts w:hint="eastAsia" w:cs="Times New Roman" w:asciiTheme="minorEastAsia" w:hAnsiTheme="minorEastAsia"/>
          <w:kern w:val="0"/>
          <w:szCs w:val="21"/>
        </w:rPr>
        <w:t>、</w:t>
      </w:r>
      <w:r>
        <w:rPr>
          <w:rFonts w:cs="Times New Roman" w:asciiTheme="minorEastAsia" w:hAnsiTheme="minorEastAsia"/>
          <w:kern w:val="0"/>
          <w:szCs w:val="21"/>
        </w:rPr>
        <w:t>SBAS</w:t>
      </w:r>
      <w:r>
        <w:rPr>
          <w:rFonts w:hint="eastAsia" w:cs="Times New Roman" w:asciiTheme="minorEastAsia" w:hAnsiTheme="minorEastAsia"/>
          <w:kern w:val="0"/>
          <w:szCs w:val="21"/>
        </w:rPr>
        <w:t>其中一种系统的相关数据；</w:t>
      </w:r>
    </w:p>
    <w:p w14:paraId="25552971">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通过承载网络定时或实时上传原始观测数据到监测中心，支持输出</w:t>
      </w:r>
      <w:r>
        <w:rPr>
          <w:rFonts w:cs="Times New Roman" w:asciiTheme="minorEastAsia" w:hAnsiTheme="minorEastAsia"/>
          <w:kern w:val="0"/>
          <w:szCs w:val="21"/>
        </w:rPr>
        <w:t>CMR,CMR+,RTCM(2.0</w:t>
      </w:r>
      <w:r>
        <w:rPr>
          <w:rFonts w:hint="eastAsia" w:cs="Times New Roman" w:asciiTheme="minorEastAsia" w:hAnsiTheme="minorEastAsia"/>
          <w:kern w:val="0"/>
          <w:szCs w:val="21"/>
        </w:rPr>
        <w:t>、</w:t>
      </w:r>
      <w:r>
        <w:rPr>
          <w:rFonts w:cs="Times New Roman" w:asciiTheme="minorEastAsia" w:hAnsiTheme="minorEastAsia"/>
          <w:kern w:val="0"/>
          <w:szCs w:val="21"/>
        </w:rPr>
        <w:t>2.3</w:t>
      </w:r>
      <w:r>
        <w:rPr>
          <w:rFonts w:hint="eastAsia" w:cs="Times New Roman" w:asciiTheme="minorEastAsia" w:hAnsiTheme="minorEastAsia"/>
          <w:kern w:val="0"/>
          <w:szCs w:val="21"/>
        </w:rPr>
        <w:t>、</w:t>
      </w:r>
      <w:r>
        <w:rPr>
          <w:rFonts w:cs="Times New Roman" w:asciiTheme="minorEastAsia" w:hAnsiTheme="minorEastAsia"/>
          <w:kern w:val="0"/>
          <w:szCs w:val="21"/>
        </w:rPr>
        <w:t>3.0</w:t>
      </w:r>
      <w:r>
        <w:rPr>
          <w:rFonts w:hint="eastAsia" w:cs="Times New Roman" w:asciiTheme="minorEastAsia" w:hAnsiTheme="minorEastAsia"/>
          <w:kern w:val="0"/>
          <w:szCs w:val="21"/>
        </w:rPr>
        <w:t>、</w:t>
      </w:r>
      <w:r>
        <w:rPr>
          <w:rFonts w:cs="Times New Roman" w:asciiTheme="minorEastAsia" w:hAnsiTheme="minorEastAsia"/>
          <w:kern w:val="0"/>
          <w:szCs w:val="21"/>
        </w:rPr>
        <w:t>3.X)</w:t>
      </w:r>
      <w:r>
        <w:rPr>
          <w:rFonts w:hint="eastAsia" w:cs="Times New Roman" w:asciiTheme="minorEastAsia" w:hAnsiTheme="minorEastAsia"/>
          <w:kern w:val="0"/>
          <w:szCs w:val="21"/>
        </w:rPr>
        <w:t>差分信号格式；</w:t>
      </w:r>
    </w:p>
    <w:p w14:paraId="52665FBD">
      <w:pPr>
        <w:ind w:firstLine="420" w:firstLineChars="200"/>
        <w:rPr>
          <w:b/>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支持网络远程查看设备运行状态、跟踪参数、网络参数，支持远程升级。</w:t>
      </w:r>
    </w:p>
    <w:bookmarkEnd w:id="29"/>
    <w:bookmarkEnd w:id="30"/>
    <w:bookmarkEnd w:id="31"/>
    <w:p w14:paraId="5F7BAF1C">
      <w:pPr>
        <w:spacing w:line="360" w:lineRule="auto"/>
        <w:rPr>
          <w:rFonts w:cs="Times New Roman" w:asciiTheme="minorEastAsia" w:hAnsiTheme="minorEastAsia"/>
          <w:kern w:val="0"/>
          <w:szCs w:val="21"/>
        </w:rPr>
      </w:pPr>
      <w:r>
        <w:rPr>
          <w:rFonts w:cs="Times New Roman" w:asciiTheme="minorEastAsia" w:hAnsiTheme="minorEastAsia"/>
          <w:kern w:val="0"/>
          <w:szCs w:val="21"/>
        </w:rPr>
        <w:t xml:space="preserve">4.2.2 </w:t>
      </w:r>
      <w:r>
        <w:rPr>
          <w:rFonts w:hint="eastAsia" w:cs="Times New Roman" w:asciiTheme="minorEastAsia" w:hAnsiTheme="minorEastAsia"/>
          <w:kern w:val="0"/>
          <w:szCs w:val="21"/>
        </w:rPr>
        <w:t>数据中心应具备下列功能：</w:t>
      </w:r>
    </w:p>
    <w:p w14:paraId="79F9F09A">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数据接收：实时接收基准站、监测站设备采集的原始观测数据；</w:t>
      </w:r>
    </w:p>
    <w:p w14:paraId="5C6BE0AC">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数据处理：分析、过滤，分类接收的原始观测数据；</w:t>
      </w:r>
    </w:p>
    <w:p w14:paraId="5CDEE2AF">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监测告警：当监测结果超过阈值时，产生告警信息；</w:t>
      </w:r>
    </w:p>
    <w:p w14:paraId="4F465F4D">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d) </w:t>
      </w:r>
      <w:r>
        <w:rPr>
          <w:rFonts w:hint="eastAsia" w:cs="Times New Roman" w:asciiTheme="minorEastAsia" w:hAnsiTheme="minorEastAsia"/>
          <w:kern w:val="0"/>
          <w:szCs w:val="21"/>
        </w:rPr>
        <w:t>数据存储：存储原始观测数据、分析数据、告警数据；</w:t>
      </w:r>
    </w:p>
    <w:p w14:paraId="35711557">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e) </w:t>
      </w:r>
      <w:r>
        <w:rPr>
          <w:rFonts w:hint="eastAsia" w:cs="Times New Roman" w:asciiTheme="minorEastAsia" w:hAnsiTheme="minorEastAsia"/>
          <w:kern w:val="0"/>
          <w:szCs w:val="21"/>
        </w:rPr>
        <w:t>配置管理：添加、删除基准站、监测站设备；</w:t>
      </w:r>
    </w:p>
    <w:p w14:paraId="6DDC498F">
      <w:pPr>
        <w:pStyle w:val="2"/>
        <w:spacing w:line="360" w:lineRule="auto"/>
        <w:ind w:left="630" w:hanging="210" w:hangingChars="100"/>
        <w:rPr>
          <w:rFonts w:asciiTheme="minorEastAsia" w:hAnsiTheme="minorEastAsia"/>
          <w:kern w:val="0"/>
          <w:szCs w:val="21"/>
        </w:rPr>
      </w:pPr>
      <w:r>
        <w:rPr>
          <w:rFonts w:asciiTheme="minorEastAsia" w:hAnsiTheme="minorEastAsia"/>
          <w:kern w:val="0"/>
          <w:szCs w:val="21"/>
        </w:rPr>
        <w:t xml:space="preserve">f) </w:t>
      </w:r>
      <w:r>
        <w:rPr>
          <w:rFonts w:hint="eastAsia" w:asciiTheme="minorEastAsia" w:hAnsiTheme="minorEastAsia"/>
          <w:kern w:val="0"/>
          <w:szCs w:val="21"/>
        </w:rPr>
        <w:t>故障管理：检测基准站、监测站设备运行状态，发生故障时发出告警信息，并对</w:t>
      </w:r>
      <w:r>
        <w:rPr>
          <w:rFonts w:hint="eastAsia"/>
        </w:rPr>
        <w:t>设备</w:t>
      </w:r>
      <w:r>
        <w:rPr>
          <w:rFonts w:hint="eastAsia" w:asciiTheme="minorEastAsia" w:hAnsiTheme="minorEastAsia"/>
          <w:kern w:val="0"/>
          <w:szCs w:val="21"/>
        </w:rPr>
        <w:t>告警记录进行存储、备份和查询；</w:t>
      </w:r>
    </w:p>
    <w:p w14:paraId="43796DFA">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g) </w:t>
      </w:r>
      <w:r>
        <w:rPr>
          <w:rFonts w:hint="eastAsia" w:cs="Times New Roman" w:asciiTheme="minorEastAsia" w:hAnsiTheme="minorEastAsia"/>
          <w:kern w:val="0"/>
          <w:szCs w:val="21"/>
        </w:rPr>
        <w:t>性能管理：对基准站、监测站设备告警阈值设置调整、性能数据统计分析；</w:t>
      </w:r>
    </w:p>
    <w:p w14:paraId="13B6BEAE">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h) </w:t>
      </w:r>
      <w:r>
        <w:rPr>
          <w:rFonts w:hint="eastAsia" w:cs="Times New Roman" w:asciiTheme="minorEastAsia" w:hAnsiTheme="minorEastAsia"/>
          <w:kern w:val="0"/>
          <w:szCs w:val="21"/>
        </w:rPr>
        <w:t>用户操作：设置不同用户权限等级和日志管理。</w:t>
      </w:r>
    </w:p>
    <w:p w14:paraId="40001FB9">
      <w:pPr>
        <w:spacing w:line="360" w:lineRule="auto"/>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4.2.</w:t>
      </w:r>
      <w:r>
        <w:rPr>
          <w:rFonts w:hint="eastAsia" w:cs="Times New Roman" w:asciiTheme="majorEastAsia" w:hAnsiTheme="majorEastAsia" w:eastAsiaTheme="majorEastAsia"/>
          <w:kern w:val="0"/>
          <w:szCs w:val="21"/>
        </w:rPr>
        <w:t>3</w:t>
      </w:r>
      <w:r>
        <w:rPr>
          <w:rFonts w:cs="Times New Roman" w:asciiTheme="majorEastAsia" w:hAnsiTheme="majorEastAsia" w:eastAsiaTheme="majorEastAsia"/>
          <w:kern w:val="0"/>
          <w:szCs w:val="21"/>
        </w:rPr>
        <w:t xml:space="preserve">  </w:t>
      </w:r>
      <w:r>
        <w:rPr>
          <w:rFonts w:hint="eastAsia" w:cs="Times New Roman" w:asciiTheme="majorEastAsia" w:hAnsiTheme="majorEastAsia" w:eastAsiaTheme="majorEastAsia"/>
          <w:kern w:val="0"/>
          <w:szCs w:val="21"/>
        </w:rPr>
        <w:t>数据采集、接收处理应符合下列规定：</w:t>
      </w:r>
    </w:p>
    <w:p w14:paraId="691A03DE">
      <w:pPr>
        <w:spacing w:line="360" w:lineRule="auto"/>
        <w:ind w:firstLine="420" w:firstLineChars="200"/>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a) 支持接收BD</w:t>
      </w:r>
      <w:r>
        <w:rPr>
          <w:rFonts w:hint="eastAsia" w:cs="Times New Roman" w:asciiTheme="majorEastAsia" w:hAnsiTheme="majorEastAsia" w:eastAsiaTheme="majorEastAsia"/>
          <w:kern w:val="0"/>
          <w:szCs w:val="21"/>
        </w:rPr>
        <w:t>S（B1、B2、B3）等卫星系统的观测信号；</w:t>
      </w:r>
    </w:p>
    <w:p w14:paraId="4D8F0F63">
      <w:pPr>
        <w:pStyle w:val="2"/>
        <w:spacing w:line="360" w:lineRule="auto"/>
        <w:ind w:left="630" w:hanging="210" w:hangingChars="100"/>
      </w:pPr>
      <w:r>
        <w:rPr>
          <w:rFonts w:hint="eastAsia" w:asciiTheme="majorEastAsia" w:hAnsiTheme="majorEastAsia" w:eastAsiaTheme="majorEastAsia"/>
          <w:kern w:val="0"/>
          <w:szCs w:val="21"/>
        </w:rPr>
        <w:t xml:space="preserve">b) </w:t>
      </w:r>
      <w:r>
        <w:rPr>
          <w:rFonts w:hint="eastAsia"/>
        </w:rPr>
        <w:t>支持采集卫星的载波相位、载躁比、多普勒频移、伪距等原始观测数据和广播星历数据；</w:t>
      </w:r>
    </w:p>
    <w:p w14:paraId="6CC1AC3F">
      <w:pPr>
        <w:pStyle w:val="2"/>
        <w:spacing w:line="360" w:lineRule="auto"/>
        <w:ind w:left="630" w:hanging="210" w:hangingChars="100"/>
        <w:rPr>
          <w:rFonts w:asciiTheme="majorEastAsia" w:hAnsiTheme="majorEastAsia" w:eastAsiaTheme="majorEastAsia"/>
          <w:kern w:val="0"/>
          <w:szCs w:val="21"/>
        </w:rPr>
      </w:pPr>
      <w:r>
        <w:rPr>
          <w:rFonts w:hint="eastAsia" w:asciiTheme="majorEastAsia" w:hAnsiTheme="majorEastAsia" w:eastAsiaTheme="majorEastAsia"/>
          <w:kern w:val="0"/>
          <w:szCs w:val="21"/>
        </w:rPr>
        <w:t>c) 具备接收基准站、监测站回传至数据中心的原始观测数据的功能，并能进行</w:t>
      </w:r>
      <w:r>
        <w:rPr>
          <w:rFonts w:hint="eastAsia"/>
        </w:rPr>
        <w:t>数据格式</w:t>
      </w:r>
      <w:r>
        <w:rPr>
          <w:rFonts w:hint="eastAsia" w:asciiTheme="majorEastAsia" w:hAnsiTheme="majorEastAsia" w:eastAsiaTheme="majorEastAsia"/>
          <w:kern w:val="0"/>
          <w:szCs w:val="21"/>
        </w:rPr>
        <w:t>转换；</w:t>
      </w:r>
    </w:p>
    <w:p w14:paraId="2624F84B">
      <w:pPr>
        <w:spacing w:line="360" w:lineRule="auto"/>
        <w:ind w:firstLine="420" w:firstLineChars="200"/>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d</w:t>
      </w:r>
      <w:r>
        <w:rPr>
          <w:rFonts w:cs="Times New Roman" w:asciiTheme="majorEastAsia" w:hAnsiTheme="majorEastAsia" w:eastAsiaTheme="majorEastAsia"/>
          <w:kern w:val="0"/>
          <w:szCs w:val="21"/>
        </w:rPr>
        <w:t xml:space="preserve">) </w:t>
      </w:r>
      <w:r>
        <w:rPr>
          <w:rFonts w:hint="eastAsia" w:cs="Times New Roman" w:asciiTheme="majorEastAsia" w:hAnsiTheme="majorEastAsia" w:eastAsiaTheme="majorEastAsia"/>
          <w:kern w:val="0"/>
          <w:szCs w:val="21"/>
        </w:rPr>
        <w:t>具备存储监测站回传和监测中心解算的位移等数据功能；</w:t>
      </w:r>
    </w:p>
    <w:p w14:paraId="632F75B0">
      <w:pPr>
        <w:spacing w:line="360" w:lineRule="auto"/>
        <w:ind w:firstLine="420" w:firstLineChars="200"/>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e</w:t>
      </w:r>
      <w:r>
        <w:rPr>
          <w:rFonts w:cs="Times New Roman" w:asciiTheme="majorEastAsia" w:hAnsiTheme="majorEastAsia" w:eastAsiaTheme="majorEastAsia"/>
          <w:kern w:val="0"/>
          <w:szCs w:val="21"/>
        </w:rPr>
        <w:t xml:space="preserve">) </w:t>
      </w:r>
      <w:r>
        <w:rPr>
          <w:rFonts w:hint="eastAsia" w:cs="Times New Roman" w:asciiTheme="majorEastAsia" w:hAnsiTheme="majorEastAsia" w:eastAsiaTheme="majorEastAsia"/>
          <w:kern w:val="0"/>
          <w:szCs w:val="21"/>
        </w:rPr>
        <w:t>具备数据检索查询功能，可生成数据统计报表；</w:t>
      </w:r>
    </w:p>
    <w:p w14:paraId="5AFD0073">
      <w:pPr>
        <w:spacing w:line="360" w:lineRule="auto"/>
        <w:ind w:firstLine="420" w:firstLineChars="200"/>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f</w:t>
      </w:r>
      <w:r>
        <w:rPr>
          <w:rFonts w:cs="Times New Roman" w:asciiTheme="majorEastAsia" w:hAnsiTheme="majorEastAsia" w:eastAsiaTheme="majorEastAsia"/>
          <w:kern w:val="0"/>
          <w:szCs w:val="21"/>
        </w:rPr>
        <w:t xml:space="preserve">) </w:t>
      </w:r>
      <w:r>
        <w:rPr>
          <w:rFonts w:hint="eastAsia" w:cs="Times New Roman" w:asciiTheme="majorEastAsia" w:hAnsiTheme="majorEastAsia" w:eastAsiaTheme="majorEastAsia"/>
          <w:kern w:val="0"/>
          <w:szCs w:val="21"/>
        </w:rPr>
        <w:t>宜具备接入水情、气象数据的接口。</w:t>
      </w:r>
    </w:p>
    <w:p w14:paraId="4664AA6C">
      <w:pPr>
        <w:spacing w:line="360" w:lineRule="auto"/>
        <w:rPr>
          <w:rFonts w:cs="Times New Roman" w:asciiTheme="minorEastAsia" w:hAnsiTheme="minorEastAsia"/>
          <w:kern w:val="0"/>
          <w:szCs w:val="21"/>
        </w:rPr>
      </w:pPr>
      <w:r>
        <w:rPr>
          <w:rFonts w:cs="Times New Roman" w:asciiTheme="minorEastAsia" w:hAnsiTheme="minorEastAsia"/>
          <w:kern w:val="0"/>
          <w:szCs w:val="21"/>
        </w:rPr>
        <w:t>4.2.</w:t>
      </w:r>
      <w:r>
        <w:rPr>
          <w:rFonts w:hint="eastAsia" w:cs="Times New Roman" w:asciiTheme="minorEastAsia" w:hAnsiTheme="minorEastAsia"/>
          <w:kern w:val="0"/>
          <w:szCs w:val="21"/>
        </w:rPr>
        <w:t>4</w:t>
      </w:r>
      <w:r>
        <w:rPr>
          <w:rFonts w:cs="Times New Roman" w:asciiTheme="minorEastAsia" w:hAnsiTheme="minorEastAsia"/>
          <w:kern w:val="0"/>
          <w:szCs w:val="21"/>
        </w:rPr>
        <w:t xml:space="preserve">  </w:t>
      </w:r>
      <w:r>
        <w:rPr>
          <w:rFonts w:hint="eastAsia" w:cs="Times New Roman" w:asciiTheme="minorEastAsia" w:hAnsiTheme="minorEastAsia"/>
          <w:kern w:val="0"/>
          <w:szCs w:val="21"/>
        </w:rPr>
        <w:t>数据解算功能应支持北斗独立解算，并满足下列要求：</w:t>
      </w:r>
    </w:p>
    <w:p w14:paraId="0455C3DE">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解算基准站回传至监测中心的原始观测数据功能，支持动态实时解算与静态数据自动后处理，可自定义静态结算时段长度，支持高角度配置；</w:t>
      </w:r>
    </w:p>
    <w:p w14:paraId="125EAF22">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解算监测站、基准站位置间的差值功能，宜能够进行无约束平差、约束平差，分析各网点的稳定情况，能自动剔除故障点并重新组网解算；</w:t>
      </w:r>
    </w:p>
    <w:p w14:paraId="316C77FF">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解算结果自动保存，支持历史数据重复解算，支持结果展示和输出；</w:t>
      </w:r>
    </w:p>
    <w:p w14:paraId="77EF918F">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d) </w:t>
      </w:r>
      <w:r>
        <w:rPr>
          <w:rFonts w:hint="eastAsia" w:cs="Times New Roman" w:asciiTheme="minorEastAsia" w:hAnsiTheme="minorEastAsia"/>
          <w:kern w:val="0"/>
          <w:szCs w:val="21"/>
        </w:rPr>
        <w:t>超过阈值时生成报警信息功能。</w:t>
      </w:r>
    </w:p>
    <w:p w14:paraId="02B28107">
      <w:pPr>
        <w:spacing w:line="360" w:lineRule="auto"/>
        <w:rPr>
          <w:rFonts w:cs="Times New Roman" w:asciiTheme="minorEastAsia" w:hAnsiTheme="minorEastAsia"/>
          <w:kern w:val="0"/>
          <w:szCs w:val="21"/>
        </w:rPr>
      </w:pPr>
      <w:r>
        <w:rPr>
          <w:rFonts w:cs="Times New Roman" w:asciiTheme="minorEastAsia" w:hAnsiTheme="minorEastAsia"/>
          <w:kern w:val="0"/>
          <w:szCs w:val="21"/>
        </w:rPr>
        <w:t>4.2.</w:t>
      </w:r>
      <w:r>
        <w:rPr>
          <w:rFonts w:hint="eastAsia" w:cs="Times New Roman" w:asciiTheme="minorEastAsia" w:hAnsiTheme="minorEastAsia"/>
          <w:kern w:val="0"/>
          <w:szCs w:val="21"/>
        </w:rPr>
        <w:t>5</w:t>
      </w:r>
      <w:r>
        <w:rPr>
          <w:rFonts w:cs="Times New Roman" w:asciiTheme="minorEastAsia" w:hAnsiTheme="minorEastAsia"/>
          <w:kern w:val="0"/>
          <w:szCs w:val="21"/>
        </w:rPr>
        <w:t xml:space="preserve">  数据</w:t>
      </w:r>
      <w:r>
        <w:rPr>
          <w:rFonts w:hint="eastAsia" w:cs="Times New Roman" w:asciiTheme="minorEastAsia" w:hAnsiTheme="minorEastAsia"/>
          <w:kern w:val="0"/>
          <w:szCs w:val="21"/>
        </w:rPr>
        <w:t>管理功能应符合下列规定：</w:t>
      </w:r>
    </w:p>
    <w:p w14:paraId="1FAF3EFD">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基准站、监测站接入配置功能；</w:t>
      </w:r>
    </w:p>
    <w:p w14:paraId="699FF86A">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基准站差分数据转发端口映射功能；</w:t>
      </w:r>
    </w:p>
    <w:p w14:paraId="51DBE73F">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根据基准站、监测站实时坐标，在</w:t>
      </w:r>
      <w:r>
        <w:rPr>
          <w:rFonts w:cs="Times New Roman" w:asciiTheme="minorEastAsia" w:hAnsiTheme="minorEastAsia"/>
          <w:kern w:val="0"/>
          <w:szCs w:val="21"/>
        </w:rPr>
        <w:t>GIS</w:t>
      </w:r>
      <w:r>
        <w:rPr>
          <w:rFonts w:hint="eastAsia" w:cs="Times New Roman" w:asciiTheme="minorEastAsia" w:hAnsiTheme="minorEastAsia"/>
          <w:kern w:val="0"/>
          <w:szCs w:val="21"/>
        </w:rPr>
        <w:t>地图上显示的功能。</w:t>
      </w:r>
    </w:p>
    <w:p w14:paraId="5275A20D">
      <w:pPr>
        <w:spacing w:line="360" w:lineRule="auto"/>
        <w:rPr>
          <w:rFonts w:cs="Times New Roman" w:asciiTheme="minorEastAsia" w:hAnsiTheme="minorEastAsia"/>
          <w:kern w:val="0"/>
          <w:szCs w:val="21"/>
        </w:rPr>
      </w:pPr>
      <w:r>
        <w:rPr>
          <w:rFonts w:cs="Times New Roman" w:asciiTheme="minorEastAsia" w:hAnsiTheme="minorEastAsia"/>
          <w:kern w:val="0"/>
          <w:szCs w:val="21"/>
        </w:rPr>
        <w:t>4.2.</w:t>
      </w:r>
      <w:r>
        <w:rPr>
          <w:rFonts w:hint="eastAsia" w:cs="Times New Roman" w:asciiTheme="minorEastAsia" w:hAnsiTheme="minorEastAsia"/>
          <w:kern w:val="0"/>
          <w:szCs w:val="21"/>
        </w:rPr>
        <w:t>6</w:t>
      </w:r>
      <w:r>
        <w:rPr>
          <w:rFonts w:cs="Times New Roman" w:asciiTheme="minorEastAsia" w:hAnsiTheme="minorEastAsia"/>
          <w:kern w:val="0"/>
          <w:szCs w:val="21"/>
        </w:rPr>
        <w:t xml:space="preserve">  </w:t>
      </w:r>
      <w:r>
        <w:rPr>
          <w:rFonts w:hint="eastAsia" w:cs="Times New Roman" w:asciiTheme="minorEastAsia" w:hAnsiTheme="minorEastAsia"/>
          <w:kern w:val="0"/>
          <w:szCs w:val="21"/>
        </w:rPr>
        <w:t>应提供数据中心与基准站和监测站之间的</w:t>
      </w:r>
      <w:r>
        <w:rPr>
          <w:rFonts w:cs="Times New Roman" w:asciiTheme="minorEastAsia" w:hAnsiTheme="minorEastAsia"/>
          <w:kern w:val="0"/>
          <w:szCs w:val="21"/>
        </w:rPr>
        <w:t>RJ45</w:t>
      </w:r>
      <w:r>
        <w:rPr>
          <w:rFonts w:hint="eastAsia" w:cs="Times New Roman" w:asciiTheme="minorEastAsia" w:hAnsiTheme="minorEastAsia"/>
          <w:kern w:val="0"/>
          <w:szCs w:val="21"/>
        </w:rPr>
        <w:t>、</w:t>
      </w:r>
      <w:r>
        <w:rPr>
          <w:rFonts w:cs="Times New Roman" w:asciiTheme="minorEastAsia" w:hAnsiTheme="minorEastAsia"/>
          <w:kern w:val="0"/>
          <w:szCs w:val="21"/>
        </w:rPr>
        <w:t>USB</w:t>
      </w:r>
      <w:r>
        <w:rPr>
          <w:rFonts w:hint="eastAsia" w:cs="Times New Roman" w:asciiTheme="minorEastAsia" w:hAnsiTheme="minorEastAsia"/>
          <w:kern w:val="0"/>
          <w:szCs w:val="21"/>
        </w:rPr>
        <w:t>等类型的数据接口，并应具备数据交互传送功能。分体机应具备天线接口。</w:t>
      </w:r>
    </w:p>
    <w:p w14:paraId="056C951B">
      <w:pPr>
        <w:spacing w:line="360" w:lineRule="auto"/>
        <w:rPr>
          <w:rFonts w:cs="Times New Roman" w:asciiTheme="minorEastAsia" w:hAnsiTheme="minorEastAsia"/>
          <w:kern w:val="0"/>
          <w:szCs w:val="21"/>
        </w:rPr>
      </w:pPr>
      <w:r>
        <w:rPr>
          <w:rFonts w:hint="eastAsia" w:cs="Times New Roman" w:asciiTheme="minorEastAsia" w:hAnsiTheme="minorEastAsia"/>
          <w:kern w:val="0"/>
          <w:szCs w:val="21"/>
        </w:rPr>
        <w:t>4.2.7  通信模块应满足下列要求：</w:t>
      </w:r>
    </w:p>
    <w:p w14:paraId="74C51CB0">
      <w:pPr>
        <w:spacing w:line="360" w:lineRule="auto"/>
        <w:ind w:firstLine="420" w:firstLineChars="200"/>
        <w:rPr>
          <w:rFonts w:cs="Times New Roman" w:asciiTheme="minorEastAsia" w:hAnsiTheme="minorEastAsia"/>
          <w:kern w:val="0"/>
          <w:szCs w:val="21"/>
        </w:rPr>
      </w:pPr>
      <w:r>
        <w:rPr>
          <w:rFonts w:hint="eastAsia" w:cs="Times New Roman" w:asciiTheme="minorEastAsia" w:hAnsiTheme="minorEastAsia"/>
          <w:kern w:val="0"/>
          <w:szCs w:val="21"/>
        </w:rPr>
        <w:t>a） 设备通信应支持以太网有线通信和移动互联网通信，宜支持自组网通信和卫星通信；</w:t>
      </w:r>
    </w:p>
    <w:p w14:paraId="5A1CB69C">
      <w:pPr>
        <w:spacing w:line="360" w:lineRule="auto"/>
        <w:ind w:firstLine="420" w:firstLineChars="200"/>
        <w:rPr>
          <w:rFonts w:cs="Times New Roman" w:asciiTheme="minorEastAsia" w:hAnsiTheme="minorEastAsia"/>
          <w:kern w:val="0"/>
          <w:szCs w:val="21"/>
        </w:rPr>
      </w:pPr>
      <w:r>
        <w:rPr>
          <w:rFonts w:hint="eastAsia" w:cs="Times New Roman" w:asciiTheme="minorEastAsia" w:hAnsiTheme="minorEastAsia"/>
          <w:kern w:val="0"/>
          <w:szCs w:val="21"/>
        </w:rPr>
        <w:t>b) 接收机应具备原始观测数据的断点续传能力；</w:t>
      </w:r>
    </w:p>
    <w:p w14:paraId="1C4DEFCC">
      <w:pPr>
        <w:spacing w:line="360" w:lineRule="auto"/>
        <w:ind w:left="735" w:leftChars="200" w:hanging="315" w:hangingChars="150"/>
        <w:rPr>
          <w:rFonts w:cs="Times New Roman" w:asciiTheme="minorEastAsia" w:hAnsiTheme="minorEastAsia"/>
          <w:kern w:val="0"/>
          <w:szCs w:val="21"/>
        </w:rPr>
      </w:pPr>
      <w:r>
        <w:rPr>
          <w:rFonts w:hint="eastAsia" w:cs="Times New Roman" w:asciiTheme="minorEastAsia" w:hAnsiTheme="minorEastAsia"/>
          <w:kern w:val="0"/>
          <w:szCs w:val="21"/>
        </w:rPr>
        <w:t>c) 通讯协议应支持</w:t>
      </w:r>
      <w:r>
        <w:rPr>
          <w:rFonts w:cs="Times New Roman" w:asciiTheme="minorEastAsia" w:hAnsiTheme="minorEastAsia"/>
          <w:kern w:val="0"/>
          <w:szCs w:val="21"/>
        </w:rPr>
        <w:t>Ntrip</w:t>
      </w:r>
      <w:r>
        <w:rPr>
          <w:rFonts w:hint="eastAsia" w:cs="Times New Roman" w:asciiTheme="minorEastAsia" w:hAnsiTheme="minorEastAsia"/>
          <w:kern w:val="0"/>
          <w:szCs w:val="21"/>
        </w:rPr>
        <w:t>标准协议，宜支持MQTT物联网协议；在公网通信环境下，宜具备数据加密传输能力；应具备输出原始观测数据的能力；数据传输采用RTCM格式。</w:t>
      </w:r>
    </w:p>
    <w:p w14:paraId="2F1B4EA7">
      <w:pPr>
        <w:spacing w:line="360" w:lineRule="auto"/>
        <w:rPr>
          <w:rFonts w:cs="Times New Roman" w:asciiTheme="minorEastAsia" w:hAnsiTheme="minorEastAsia"/>
          <w:kern w:val="0"/>
          <w:szCs w:val="21"/>
        </w:rPr>
      </w:pPr>
      <w:r>
        <w:rPr>
          <w:rFonts w:hint="eastAsia" w:cs="Times New Roman" w:asciiTheme="minorEastAsia" w:hAnsiTheme="minorEastAsia"/>
          <w:kern w:val="0"/>
          <w:szCs w:val="21"/>
        </w:rPr>
        <w:t>4.2.8  电源模块应满足下列要求：</w:t>
      </w:r>
    </w:p>
    <w:p w14:paraId="62B17945">
      <w:pPr>
        <w:spacing w:line="360" w:lineRule="auto"/>
        <w:ind w:firstLine="420" w:firstLineChars="200"/>
        <w:rPr>
          <w:rFonts w:cs="Times New Roman" w:asciiTheme="minorEastAsia" w:hAnsiTheme="minorEastAsia"/>
          <w:kern w:val="0"/>
          <w:szCs w:val="21"/>
        </w:rPr>
      </w:pPr>
      <w:r>
        <w:rPr>
          <w:rFonts w:hint="eastAsia" w:cs="Times New Roman" w:asciiTheme="minorEastAsia" w:hAnsiTheme="minorEastAsia"/>
          <w:kern w:val="0"/>
          <w:szCs w:val="21"/>
        </w:rPr>
        <w:t>a) 在电源电压相对标称值变化±10%的情况下，接收机应能正常工作；</w:t>
      </w:r>
    </w:p>
    <w:p w14:paraId="2B6852F7">
      <w:pPr>
        <w:spacing w:line="360" w:lineRule="auto"/>
        <w:ind w:left="735" w:leftChars="200" w:hanging="315" w:hangingChars="150"/>
        <w:rPr>
          <w:rFonts w:cs="Times New Roman" w:asciiTheme="minorEastAsia" w:hAnsiTheme="minorEastAsia"/>
          <w:kern w:val="0"/>
          <w:szCs w:val="21"/>
        </w:rPr>
      </w:pPr>
      <w:r>
        <w:rPr>
          <w:rFonts w:hint="eastAsia" w:cs="Times New Roman" w:asciiTheme="minorEastAsia" w:hAnsiTheme="minorEastAsia"/>
          <w:kern w:val="0"/>
          <w:szCs w:val="21"/>
        </w:rPr>
        <w:t>b) 应具备通电自检测和开机自检测、电源电压过低报警显示或提示功能，以及过流、过压、电源瞬间变化和偶然极性反接的保护装置，并可查看外接电源电压、内置电池电压等；</w:t>
      </w:r>
    </w:p>
    <w:p w14:paraId="6893A101">
      <w:pPr>
        <w:spacing w:line="360" w:lineRule="auto"/>
        <w:ind w:firstLine="420" w:firstLineChars="200"/>
      </w:pPr>
      <w:r>
        <w:rPr>
          <w:rFonts w:hint="eastAsia" w:cs="Times New Roman" w:asciiTheme="minorEastAsia" w:hAnsiTheme="minorEastAsia"/>
          <w:kern w:val="0"/>
          <w:szCs w:val="21"/>
        </w:rPr>
        <w:t>c) 具备外接电源接入通电自启动功能</w:t>
      </w:r>
      <w:r>
        <w:rPr>
          <w:rFonts w:hint="eastAsia"/>
        </w:rPr>
        <w:t>。</w:t>
      </w:r>
    </w:p>
    <w:p w14:paraId="0742704D">
      <w:pPr>
        <w:spacing w:line="360" w:lineRule="auto"/>
        <w:rPr>
          <w:rFonts w:cs="Times New Roman" w:asciiTheme="minorEastAsia" w:hAnsiTheme="minorEastAsia"/>
          <w:kern w:val="0"/>
          <w:szCs w:val="21"/>
        </w:rPr>
      </w:pPr>
      <w:r>
        <w:rPr>
          <w:rFonts w:cs="Times New Roman" w:asciiTheme="minorEastAsia" w:hAnsiTheme="minorEastAsia"/>
          <w:kern w:val="0"/>
          <w:szCs w:val="21"/>
        </w:rPr>
        <w:t>4.2.</w:t>
      </w:r>
      <w:r>
        <w:rPr>
          <w:rFonts w:hint="eastAsia" w:cs="Times New Roman" w:asciiTheme="minorEastAsia" w:hAnsiTheme="minorEastAsia"/>
          <w:kern w:val="0"/>
          <w:szCs w:val="21"/>
        </w:rPr>
        <w:t>9</w:t>
      </w:r>
      <w:r>
        <w:rPr>
          <w:rFonts w:cs="Times New Roman" w:asciiTheme="minorEastAsia" w:hAnsiTheme="minorEastAsia"/>
          <w:kern w:val="0"/>
          <w:szCs w:val="21"/>
        </w:rPr>
        <w:t xml:space="preserve">  </w:t>
      </w:r>
      <w:r>
        <w:rPr>
          <w:rFonts w:hint="eastAsia" w:cs="Times New Roman" w:asciiTheme="minorEastAsia" w:hAnsiTheme="minorEastAsia"/>
          <w:kern w:val="0"/>
          <w:szCs w:val="21"/>
        </w:rPr>
        <w:t>监测终端应具备显示、浏览监测数据，输出告警信息等功能。</w:t>
      </w:r>
    </w:p>
    <w:p w14:paraId="54C1E75C">
      <w:pPr>
        <w:spacing w:line="360" w:lineRule="auto"/>
        <w:rPr>
          <w:rFonts w:cs="Times New Roman" w:asciiTheme="minorEastAsia" w:hAnsiTheme="minorEastAsia"/>
          <w:kern w:val="0"/>
          <w:szCs w:val="21"/>
        </w:rPr>
      </w:pPr>
      <w:r>
        <w:rPr>
          <w:rFonts w:cs="Times New Roman" w:asciiTheme="minorEastAsia" w:hAnsiTheme="minorEastAsia"/>
          <w:kern w:val="0"/>
          <w:szCs w:val="21"/>
        </w:rPr>
        <w:t>4.2.</w:t>
      </w:r>
      <w:r>
        <w:rPr>
          <w:rFonts w:hint="eastAsia" w:cs="Times New Roman" w:asciiTheme="minorEastAsia" w:hAnsiTheme="minorEastAsia"/>
          <w:kern w:val="0"/>
          <w:szCs w:val="21"/>
        </w:rPr>
        <w:t>10</w:t>
      </w:r>
      <w:r>
        <w:rPr>
          <w:rFonts w:cs="Times New Roman" w:asciiTheme="minorEastAsia" w:hAnsiTheme="minorEastAsia"/>
          <w:kern w:val="0"/>
          <w:szCs w:val="21"/>
        </w:rPr>
        <w:t xml:space="preserve">  </w:t>
      </w:r>
      <w:r>
        <w:rPr>
          <w:rFonts w:hint="eastAsia" w:cs="Times New Roman" w:asciiTheme="minorEastAsia" w:hAnsiTheme="minorEastAsia"/>
          <w:kern w:val="0"/>
          <w:szCs w:val="21"/>
        </w:rPr>
        <w:t>维护终端应具备管理监测中心、监测站和基准站设备等功能。</w:t>
      </w:r>
    </w:p>
    <w:p w14:paraId="25E0D2C3">
      <w:pPr>
        <w:pStyle w:val="4"/>
        <w:spacing w:before="0" w:after="0"/>
        <w:rPr>
          <w:rFonts w:ascii="黑体" w:hAnsi="黑体" w:eastAsia="黑体" w:cs="Times New Roman"/>
          <w:b w:val="0"/>
          <w:sz w:val="21"/>
          <w:szCs w:val="21"/>
        </w:rPr>
      </w:pPr>
      <w:bookmarkStart w:id="32" w:name="_Toc27314"/>
      <w:bookmarkStart w:id="33" w:name="_Toc187827466"/>
      <w:bookmarkStart w:id="34" w:name="_Toc166316662"/>
      <w:bookmarkStart w:id="35" w:name="_Toc16619"/>
      <w:r>
        <w:rPr>
          <w:rFonts w:ascii="黑体" w:hAnsi="黑体" w:eastAsia="黑体" w:cs="Times New Roman"/>
          <w:b w:val="0"/>
          <w:sz w:val="21"/>
          <w:szCs w:val="21"/>
        </w:rPr>
        <w:t xml:space="preserve">5  </w:t>
      </w:r>
      <w:r>
        <w:rPr>
          <w:rFonts w:hint="eastAsia" w:ascii="黑体" w:hAnsi="黑体" w:eastAsia="黑体" w:cs="Times New Roman"/>
          <w:b w:val="0"/>
          <w:sz w:val="21"/>
          <w:szCs w:val="21"/>
        </w:rPr>
        <w:t>性能要求</w:t>
      </w:r>
      <w:bookmarkEnd w:id="32"/>
      <w:bookmarkEnd w:id="33"/>
      <w:bookmarkEnd w:id="34"/>
      <w:bookmarkEnd w:id="35"/>
    </w:p>
    <w:p w14:paraId="4CB03417">
      <w:pPr>
        <w:pStyle w:val="5"/>
        <w:spacing w:before="0" w:after="0" w:line="360" w:lineRule="auto"/>
        <w:rPr>
          <w:rFonts w:ascii="黑体" w:hAnsi="黑体" w:eastAsia="黑体" w:cs="Times New Roman"/>
          <w:b w:val="0"/>
          <w:sz w:val="21"/>
          <w:szCs w:val="21"/>
        </w:rPr>
      </w:pPr>
      <w:bookmarkStart w:id="36" w:name="_Toc187827467"/>
      <w:bookmarkStart w:id="37" w:name="_Toc166316663"/>
      <w:bookmarkStart w:id="38" w:name="_Toc1352"/>
      <w:bookmarkStart w:id="39" w:name="_Toc29185"/>
      <w:r>
        <w:rPr>
          <w:rFonts w:ascii="黑体" w:hAnsi="黑体" w:eastAsia="黑体" w:cs="Times New Roman"/>
          <w:b w:val="0"/>
          <w:sz w:val="21"/>
          <w:szCs w:val="21"/>
        </w:rPr>
        <w:t>5.</w:t>
      </w:r>
      <w:r>
        <w:rPr>
          <w:rFonts w:hint="eastAsia" w:ascii="黑体" w:hAnsi="黑体" w:eastAsia="黑体" w:cs="Times New Roman"/>
          <w:b w:val="0"/>
          <w:sz w:val="21"/>
          <w:szCs w:val="21"/>
        </w:rPr>
        <w:t>1</w:t>
      </w:r>
      <w:r>
        <w:rPr>
          <w:rFonts w:ascii="黑体" w:hAnsi="黑体" w:eastAsia="黑体" w:cs="Times New Roman"/>
          <w:b w:val="0"/>
          <w:sz w:val="21"/>
          <w:szCs w:val="21"/>
        </w:rPr>
        <w:t xml:space="preserve">  </w:t>
      </w:r>
      <w:r>
        <w:rPr>
          <w:rFonts w:hint="eastAsia" w:ascii="黑体" w:hAnsi="黑体" w:eastAsia="黑体" w:cs="Times New Roman"/>
          <w:b w:val="0"/>
          <w:sz w:val="21"/>
          <w:szCs w:val="21"/>
        </w:rPr>
        <w:t>环境适应性</w:t>
      </w:r>
      <w:bookmarkEnd w:id="36"/>
    </w:p>
    <w:p w14:paraId="66CB7BED">
      <w:pPr>
        <w:spacing w:line="360" w:lineRule="auto"/>
        <w:rPr>
          <w:rFonts w:asciiTheme="minorEastAsia" w:hAnsiTheme="minorEastAsia"/>
          <w:szCs w:val="21"/>
        </w:rPr>
      </w:pPr>
      <w:r>
        <w:rPr>
          <w:rFonts w:cs="Times New Roman" w:asciiTheme="minorEastAsia" w:hAnsiTheme="minorEastAsia"/>
          <w:kern w:val="0"/>
          <w:szCs w:val="21"/>
        </w:rPr>
        <w:t xml:space="preserve">5.2.1  </w:t>
      </w:r>
      <w:r>
        <w:rPr>
          <w:rFonts w:hint="eastAsia" w:cs="Times New Roman" w:asciiTheme="minorEastAsia" w:hAnsiTheme="minorEastAsia"/>
          <w:kern w:val="0"/>
          <w:szCs w:val="21"/>
        </w:rPr>
        <w:t>系统设备高低温性能应满足：</w:t>
      </w:r>
    </w:p>
    <w:p w14:paraId="452B7EB3">
      <w:pPr>
        <w:spacing w:line="360" w:lineRule="auto"/>
        <w:ind w:left="630" w:leftChars="200" w:hanging="210" w:hangingChars="100"/>
        <w:rPr>
          <w:rFonts w:asciiTheme="minorEastAsia" w:hAnsiTheme="minorEastAsia"/>
          <w:szCs w:val="21"/>
        </w:rPr>
      </w:pPr>
      <w:r>
        <w:rPr>
          <w:rFonts w:hint="eastAsia" w:cs="Times New Roman" w:asciiTheme="minorEastAsia" w:hAnsiTheme="minorEastAsia"/>
          <w:kern w:val="0"/>
          <w:szCs w:val="21"/>
        </w:rPr>
        <w:t>a）</w:t>
      </w:r>
      <w:r>
        <w:rPr>
          <w:rFonts w:cs="Times New Roman" w:asciiTheme="minorEastAsia" w:hAnsiTheme="minorEastAsia"/>
          <w:kern w:val="0"/>
          <w:szCs w:val="21"/>
        </w:rPr>
        <w:t xml:space="preserve"> </w:t>
      </w:r>
      <w:r>
        <w:rPr>
          <w:rFonts w:hint="eastAsia" w:cs="Times New Roman" w:asciiTheme="minorEastAsia" w:hAnsiTheme="minorEastAsia"/>
          <w:kern w:val="0"/>
          <w:szCs w:val="21"/>
        </w:rPr>
        <w:t>基准站和监测站设备，应能在-10℃～</w:t>
      </w:r>
      <w:r>
        <w:rPr>
          <w:rFonts w:cs="Times New Roman" w:asciiTheme="minorEastAsia" w:hAnsiTheme="minorEastAsia"/>
          <w:kern w:val="0"/>
          <w:szCs w:val="21"/>
        </w:rPr>
        <w:t>60</w:t>
      </w:r>
      <w:r>
        <w:rPr>
          <w:rFonts w:hint="eastAsia" w:cs="Times New Roman" w:asciiTheme="minorEastAsia" w:hAnsiTheme="minorEastAsia"/>
          <w:kern w:val="0"/>
          <w:szCs w:val="21"/>
        </w:rPr>
        <w:t>℃的温度环境下正常工作，严寒地区应在-30℃～</w:t>
      </w:r>
      <w:r>
        <w:rPr>
          <w:rFonts w:cs="Times New Roman" w:asciiTheme="minorEastAsia" w:hAnsiTheme="minorEastAsia"/>
          <w:kern w:val="0"/>
          <w:szCs w:val="21"/>
        </w:rPr>
        <w:t>60</w:t>
      </w:r>
      <w:r>
        <w:rPr>
          <w:rFonts w:hint="eastAsia" w:cs="Times New Roman" w:asciiTheme="minorEastAsia" w:hAnsiTheme="minorEastAsia"/>
          <w:kern w:val="0"/>
          <w:szCs w:val="21"/>
        </w:rPr>
        <w:t>℃的温度环境下正常工作；</w:t>
      </w:r>
    </w:p>
    <w:p w14:paraId="7C10A64A">
      <w:pPr>
        <w:spacing w:line="360" w:lineRule="auto"/>
        <w:ind w:firstLine="420" w:firstLineChars="200"/>
        <w:rPr>
          <w:rFonts w:asciiTheme="minorEastAsia" w:hAnsiTheme="minorEastAsia"/>
          <w:szCs w:val="21"/>
        </w:rPr>
      </w:pPr>
      <w:r>
        <w:rPr>
          <w:rFonts w:hint="eastAsia" w:cs="Times New Roman" w:asciiTheme="minorEastAsia" w:hAnsiTheme="minorEastAsia"/>
          <w:kern w:val="0"/>
          <w:szCs w:val="21"/>
        </w:rPr>
        <w:t>b）</w:t>
      </w:r>
      <w:r>
        <w:rPr>
          <w:rFonts w:cs="Times New Roman" w:asciiTheme="minorEastAsia" w:hAnsiTheme="minorEastAsia"/>
          <w:kern w:val="0"/>
          <w:szCs w:val="21"/>
        </w:rPr>
        <w:t xml:space="preserve"> </w:t>
      </w:r>
      <w:r>
        <w:rPr>
          <w:rFonts w:hint="eastAsia" w:cs="Times New Roman" w:asciiTheme="minorEastAsia" w:hAnsiTheme="minorEastAsia"/>
          <w:kern w:val="0"/>
          <w:szCs w:val="21"/>
        </w:rPr>
        <w:t>数据中心设备应能在-10℃～50℃的温度环境下正常工作。</w:t>
      </w:r>
    </w:p>
    <w:p w14:paraId="554138D1">
      <w:pPr>
        <w:spacing w:line="360" w:lineRule="auto"/>
        <w:rPr>
          <w:rFonts w:asciiTheme="minorEastAsia" w:hAnsiTheme="minorEastAsia"/>
          <w:szCs w:val="21"/>
        </w:rPr>
      </w:pPr>
      <w:r>
        <w:rPr>
          <w:rFonts w:cs="Times New Roman" w:asciiTheme="minorEastAsia" w:hAnsiTheme="minorEastAsia"/>
          <w:kern w:val="0"/>
          <w:szCs w:val="21"/>
        </w:rPr>
        <w:t xml:space="preserve">5.2.2 </w:t>
      </w:r>
      <w:r>
        <w:rPr>
          <w:rFonts w:hint="eastAsia" w:cs="Times New Roman" w:asciiTheme="minorEastAsia" w:hAnsiTheme="minorEastAsia"/>
          <w:kern w:val="0"/>
          <w:szCs w:val="21"/>
        </w:rPr>
        <w:t xml:space="preserve"> 应能在相对湿度不大于</w:t>
      </w:r>
      <w:r>
        <w:rPr>
          <w:rFonts w:cs="Times New Roman" w:asciiTheme="minorEastAsia" w:hAnsiTheme="minorEastAsia"/>
          <w:kern w:val="0"/>
          <w:szCs w:val="21"/>
        </w:rPr>
        <w:t>95%</w:t>
      </w:r>
      <w:r>
        <w:rPr>
          <w:rFonts w:hint="eastAsia" w:cs="Times New Roman" w:asciiTheme="minorEastAsia" w:hAnsiTheme="minorEastAsia"/>
          <w:kern w:val="0"/>
          <w:szCs w:val="21"/>
        </w:rPr>
        <w:t>的环境下正常工作。</w:t>
      </w:r>
    </w:p>
    <w:p w14:paraId="1A483716">
      <w:pPr>
        <w:spacing w:line="360" w:lineRule="auto"/>
        <w:rPr>
          <w:rFonts w:cs="Times New Roman" w:asciiTheme="minorEastAsia" w:hAnsiTheme="minorEastAsia"/>
          <w:kern w:val="0"/>
          <w:szCs w:val="21"/>
        </w:rPr>
      </w:pPr>
      <w:r>
        <w:rPr>
          <w:rFonts w:cs="Times New Roman" w:asciiTheme="minorEastAsia" w:hAnsiTheme="minorEastAsia"/>
          <w:kern w:val="0"/>
          <w:szCs w:val="21"/>
        </w:rPr>
        <w:t xml:space="preserve">5.2.3  </w:t>
      </w:r>
      <w:r>
        <w:rPr>
          <w:rFonts w:hint="eastAsia" w:cs="Times New Roman" w:asciiTheme="minorEastAsia" w:hAnsiTheme="minorEastAsia"/>
          <w:kern w:val="0"/>
          <w:szCs w:val="21"/>
        </w:rPr>
        <w:t>大气压强应为</w:t>
      </w:r>
      <w:r>
        <w:rPr>
          <w:rFonts w:cs="Times New Roman" w:asciiTheme="minorEastAsia" w:hAnsiTheme="minorEastAsia"/>
          <w:kern w:val="0"/>
          <w:szCs w:val="21"/>
        </w:rPr>
        <w:t>70kPa</w:t>
      </w:r>
      <w:r>
        <w:rPr>
          <w:rFonts w:hint="eastAsia" w:cs="Times New Roman" w:asciiTheme="minorEastAsia" w:hAnsiTheme="minorEastAsia"/>
          <w:kern w:val="0"/>
          <w:szCs w:val="21"/>
        </w:rPr>
        <w:t>～</w:t>
      </w:r>
      <w:r>
        <w:rPr>
          <w:rFonts w:cs="Times New Roman" w:asciiTheme="minorEastAsia" w:hAnsiTheme="minorEastAsia"/>
          <w:kern w:val="0"/>
          <w:szCs w:val="21"/>
        </w:rPr>
        <w:t>106kPa</w:t>
      </w:r>
      <w:r>
        <w:rPr>
          <w:rFonts w:hint="eastAsia" w:cs="Times New Roman" w:asciiTheme="minorEastAsia" w:hAnsiTheme="minorEastAsia"/>
          <w:kern w:val="0"/>
          <w:szCs w:val="21"/>
        </w:rPr>
        <w:t>。</w:t>
      </w:r>
    </w:p>
    <w:p w14:paraId="2991D003">
      <w:pPr>
        <w:spacing w:line="360" w:lineRule="auto"/>
        <w:rPr>
          <w:rFonts w:cs="Times New Roman" w:asciiTheme="minorEastAsia" w:hAnsiTheme="minorEastAsia"/>
          <w:kern w:val="0"/>
          <w:szCs w:val="21"/>
        </w:rPr>
      </w:pPr>
      <w:r>
        <w:rPr>
          <w:rFonts w:cs="Times New Roman" w:asciiTheme="minorEastAsia" w:hAnsiTheme="minorEastAsia"/>
          <w:kern w:val="0"/>
          <w:szCs w:val="21"/>
        </w:rPr>
        <w:t xml:space="preserve">5.2.4  </w:t>
      </w:r>
      <w:r>
        <w:rPr>
          <w:rFonts w:hint="eastAsia" w:cs="Times New Roman" w:asciiTheme="minorEastAsia" w:hAnsiTheme="minorEastAsia"/>
          <w:kern w:val="0"/>
          <w:szCs w:val="21"/>
        </w:rPr>
        <w:t>沿海、海岛地区应按</w:t>
      </w:r>
      <w:r>
        <w:rPr>
          <w:rFonts w:cs="Times New Roman" w:asciiTheme="minorEastAsia" w:hAnsiTheme="minorEastAsia"/>
          <w:kern w:val="0"/>
          <w:szCs w:val="21"/>
        </w:rPr>
        <w:t>GB/T 2423.17</w:t>
      </w:r>
      <w:r>
        <w:rPr>
          <w:rFonts w:hint="eastAsia" w:cs="Times New Roman" w:asciiTheme="minorEastAsia" w:hAnsiTheme="minorEastAsia"/>
          <w:kern w:val="0"/>
          <w:szCs w:val="21"/>
        </w:rPr>
        <w:t>的方法进行盐雾试验，不应出现腐蚀现象。</w:t>
      </w:r>
    </w:p>
    <w:p w14:paraId="536B45A8">
      <w:pPr>
        <w:pStyle w:val="5"/>
        <w:spacing w:before="0" w:after="0" w:line="360" w:lineRule="auto"/>
        <w:rPr>
          <w:rFonts w:ascii="黑体" w:hAnsi="黑体" w:eastAsia="黑体" w:cs="Times New Roman"/>
          <w:szCs w:val="21"/>
        </w:rPr>
      </w:pPr>
      <w:bookmarkStart w:id="40" w:name="_Toc187827468"/>
      <w:r>
        <w:rPr>
          <w:rFonts w:ascii="黑体" w:hAnsi="黑体" w:eastAsia="黑体" w:cs="Times New Roman"/>
          <w:b w:val="0"/>
          <w:sz w:val="21"/>
          <w:szCs w:val="21"/>
        </w:rPr>
        <w:t xml:space="preserve">5.2  </w:t>
      </w:r>
      <w:r>
        <w:rPr>
          <w:rFonts w:hint="eastAsia" w:ascii="黑体" w:hAnsi="黑体" w:eastAsia="黑体" w:cs="Times New Roman"/>
          <w:b w:val="0"/>
          <w:sz w:val="21"/>
          <w:szCs w:val="21"/>
        </w:rPr>
        <w:t>性能指标</w:t>
      </w:r>
      <w:bookmarkEnd w:id="40"/>
    </w:p>
    <w:p w14:paraId="109B4AC2">
      <w:pPr>
        <w:tabs>
          <w:tab w:val="left" w:pos="840"/>
        </w:tabs>
        <w:spacing w:line="360" w:lineRule="auto"/>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 xml:space="preserve">5.2.1  </w:t>
      </w:r>
      <w:r>
        <w:rPr>
          <w:rFonts w:hint="eastAsia" w:cs="Times New Roman" w:asciiTheme="majorEastAsia" w:hAnsiTheme="majorEastAsia" w:eastAsiaTheme="majorEastAsia"/>
          <w:kern w:val="0"/>
          <w:szCs w:val="21"/>
        </w:rPr>
        <w:t>基准站北斗接收机技术要求应符合表</w:t>
      </w:r>
      <w:r>
        <w:rPr>
          <w:rFonts w:cs="Times New Roman" w:asciiTheme="majorEastAsia" w:hAnsiTheme="majorEastAsia" w:eastAsiaTheme="majorEastAsia"/>
          <w:kern w:val="0"/>
          <w:szCs w:val="21"/>
        </w:rPr>
        <w:t>1</w:t>
      </w:r>
      <w:r>
        <w:rPr>
          <w:rFonts w:hint="eastAsia" w:cs="Times New Roman" w:asciiTheme="majorEastAsia" w:hAnsiTheme="majorEastAsia" w:eastAsiaTheme="majorEastAsia"/>
          <w:kern w:val="0"/>
          <w:szCs w:val="21"/>
        </w:rPr>
        <w:t>的规定。</w:t>
      </w:r>
    </w:p>
    <w:p w14:paraId="783A6099">
      <w:pPr>
        <w:pStyle w:val="20"/>
        <w:tabs>
          <w:tab w:val="left" w:pos="840"/>
        </w:tabs>
        <w:ind w:left="839" w:firstLine="0" w:firstLineChars="0"/>
        <w:jc w:val="center"/>
        <w:rPr>
          <w:rFonts w:ascii="Times New Roman" w:hAnsi="Times New Roman" w:eastAsia="黑体" w:cs="Times New Roman"/>
          <w:kern w:val="0"/>
          <w:szCs w:val="21"/>
        </w:rPr>
      </w:pPr>
      <w:r>
        <w:rPr>
          <w:rFonts w:ascii="Times New Roman" w:hAnsi="Times New Roman" w:eastAsia="黑体" w:cs="Times New Roman"/>
          <w:kern w:val="0"/>
          <w:szCs w:val="21"/>
        </w:rPr>
        <w:t>表1  基准站</w:t>
      </w:r>
      <w:r>
        <w:rPr>
          <w:rFonts w:hint="eastAsia" w:ascii="Times New Roman" w:hAnsi="Times New Roman" w:eastAsia="黑体" w:cs="Times New Roman"/>
          <w:kern w:val="0"/>
          <w:szCs w:val="21"/>
        </w:rPr>
        <w:t>北斗</w:t>
      </w:r>
      <w:r>
        <w:rPr>
          <w:rFonts w:ascii="Times New Roman" w:hAnsi="Times New Roman" w:eastAsia="黑体" w:cs="Times New Roman"/>
          <w:kern w:val="0"/>
          <w:szCs w:val="21"/>
        </w:rPr>
        <w:t>接收机性能要求</w:t>
      </w:r>
    </w:p>
    <w:tbl>
      <w:tblPr>
        <w:tblStyle w:val="16"/>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2153"/>
        <w:gridCol w:w="5245"/>
      </w:tblGrid>
      <w:tr w14:paraId="1C78E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748BC1B6">
            <w:pPr>
              <w:jc w:val="center"/>
              <w:rPr>
                <w:rFonts w:ascii="Times New Roman" w:hAnsi="Times New Roman" w:cs="Times New Roman"/>
                <w:kern w:val="0"/>
                <w:szCs w:val="21"/>
              </w:rPr>
            </w:pPr>
            <w:r>
              <w:rPr>
                <w:rFonts w:ascii="Times New Roman" w:hAnsi="Times New Roman" w:cs="Times New Roman"/>
                <w:kern w:val="0"/>
                <w:szCs w:val="21"/>
              </w:rPr>
              <w:t>序号</w:t>
            </w:r>
          </w:p>
        </w:tc>
        <w:tc>
          <w:tcPr>
            <w:tcW w:w="2153" w:type="dxa"/>
          </w:tcPr>
          <w:p w14:paraId="6CFDEA87">
            <w:pPr>
              <w:jc w:val="center"/>
              <w:rPr>
                <w:rFonts w:ascii="Times New Roman" w:hAnsi="Times New Roman" w:cs="Times New Roman"/>
                <w:kern w:val="0"/>
                <w:szCs w:val="21"/>
              </w:rPr>
            </w:pPr>
            <w:r>
              <w:rPr>
                <w:rFonts w:ascii="Times New Roman" w:hAnsi="Times New Roman" w:cs="Times New Roman"/>
                <w:kern w:val="0"/>
                <w:szCs w:val="21"/>
              </w:rPr>
              <w:t>性能指标</w:t>
            </w:r>
          </w:p>
        </w:tc>
        <w:tc>
          <w:tcPr>
            <w:tcW w:w="5245" w:type="dxa"/>
          </w:tcPr>
          <w:p w14:paraId="2A06B3BA">
            <w:pPr>
              <w:jc w:val="center"/>
              <w:rPr>
                <w:rFonts w:ascii="Times New Roman" w:hAnsi="Times New Roman" w:cs="Times New Roman"/>
                <w:kern w:val="0"/>
                <w:szCs w:val="21"/>
              </w:rPr>
            </w:pPr>
            <w:r>
              <w:rPr>
                <w:rFonts w:ascii="Times New Roman" w:hAnsi="Times New Roman" w:cs="Times New Roman"/>
                <w:kern w:val="0"/>
                <w:szCs w:val="21"/>
              </w:rPr>
              <w:t>技术要求</w:t>
            </w:r>
          </w:p>
        </w:tc>
      </w:tr>
      <w:tr w14:paraId="56DB5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5E1C3765">
            <w:pPr>
              <w:jc w:val="center"/>
              <w:rPr>
                <w:rFonts w:ascii="Times New Roman" w:hAnsi="Times New Roman" w:cs="Times New Roman"/>
                <w:kern w:val="0"/>
                <w:szCs w:val="21"/>
              </w:rPr>
            </w:pPr>
            <w:r>
              <w:rPr>
                <w:rFonts w:ascii="Times New Roman" w:hAnsi="Times New Roman" w:cs="Times New Roman"/>
                <w:kern w:val="0"/>
                <w:szCs w:val="21"/>
              </w:rPr>
              <w:t>1</w:t>
            </w:r>
          </w:p>
        </w:tc>
        <w:tc>
          <w:tcPr>
            <w:tcW w:w="2153" w:type="dxa"/>
          </w:tcPr>
          <w:p w14:paraId="5C15BA2F">
            <w:pPr>
              <w:jc w:val="center"/>
              <w:rPr>
                <w:rFonts w:ascii="Times New Roman" w:hAnsi="Times New Roman" w:cs="Times New Roman"/>
                <w:kern w:val="0"/>
                <w:szCs w:val="21"/>
              </w:rPr>
            </w:pPr>
            <w:r>
              <w:rPr>
                <w:rFonts w:ascii="Times New Roman" w:hAnsi="Times New Roman" w:cs="Times New Roman"/>
                <w:kern w:val="0"/>
                <w:szCs w:val="21"/>
              </w:rPr>
              <w:t>工作频点</w:t>
            </w:r>
          </w:p>
        </w:tc>
        <w:tc>
          <w:tcPr>
            <w:tcW w:w="5245" w:type="dxa"/>
          </w:tcPr>
          <w:p w14:paraId="706AF3A1">
            <w:pPr>
              <w:jc w:val="center"/>
              <w:rPr>
                <w:rFonts w:ascii="Times New Roman" w:hAnsi="Times New Roman" w:cs="Times New Roman"/>
                <w:kern w:val="0"/>
                <w:szCs w:val="21"/>
              </w:rPr>
            </w:pPr>
            <w:r>
              <w:rPr>
                <w:rFonts w:ascii="Times New Roman" w:hAnsi="Times New Roman" w:cs="Times New Roman"/>
                <w:kern w:val="0"/>
                <w:szCs w:val="21"/>
              </w:rPr>
              <w:t>应能支持BDS（B1/B2/B3）频点，可兼顾GPS（L1/L2/L5）</w:t>
            </w:r>
            <w:r>
              <w:rPr>
                <w:rFonts w:hint="eastAsia" w:ascii="Times New Roman" w:hAnsi="Times New Roman" w:cs="Times New Roman"/>
                <w:kern w:val="0"/>
                <w:szCs w:val="21"/>
              </w:rPr>
              <w:t>、</w:t>
            </w:r>
            <w:r>
              <w:rPr>
                <w:rFonts w:ascii="Times New Roman" w:hAnsi="Times New Roman" w:cs="Times New Roman"/>
                <w:kern w:val="0"/>
                <w:szCs w:val="21"/>
              </w:rPr>
              <w:t>GLONASS（L1/L2）、</w:t>
            </w:r>
            <w:r>
              <w:rPr>
                <w:rFonts w:hint="eastAsia" w:ascii="Times New Roman" w:hAnsi="Times New Roman" w:cs="Times New Roman"/>
                <w:kern w:val="0"/>
                <w:szCs w:val="21"/>
              </w:rPr>
              <w:t>Beidou</w:t>
            </w:r>
            <w:r>
              <w:rPr>
                <w:rFonts w:ascii="Times New Roman" w:hAnsi="Times New Roman" w:cs="Times New Roman"/>
                <w:kern w:val="0"/>
                <w:szCs w:val="21"/>
              </w:rPr>
              <w:t>（</w:t>
            </w:r>
          </w:p>
          <w:p w14:paraId="3331715C">
            <w:pPr>
              <w:jc w:val="center"/>
              <w:rPr>
                <w:rFonts w:ascii="Times New Roman" w:hAnsi="Times New Roman" w:cs="Times New Roman"/>
                <w:kern w:val="0"/>
                <w:szCs w:val="21"/>
              </w:rPr>
            </w:pPr>
            <w:r>
              <w:rPr>
                <w:rFonts w:ascii="Times New Roman" w:hAnsi="Times New Roman" w:cs="Times New Roman"/>
                <w:kern w:val="0"/>
                <w:szCs w:val="21"/>
              </w:rPr>
              <w:t>B1/B2）、GALILEO（E1/E5）、NavIC（</w:t>
            </w:r>
            <w:r>
              <w:rPr>
                <w:rFonts w:hint="eastAsia" w:ascii="Times New Roman" w:hAnsi="Times New Roman" w:cs="Times New Roman"/>
                <w:kern w:val="0"/>
                <w:szCs w:val="21"/>
              </w:rPr>
              <w:t>L</w:t>
            </w:r>
            <w:r>
              <w:rPr>
                <w:rFonts w:ascii="Times New Roman" w:hAnsi="Times New Roman" w:cs="Times New Roman"/>
                <w:kern w:val="0"/>
                <w:szCs w:val="21"/>
              </w:rPr>
              <w:t>5）</w:t>
            </w:r>
            <w:r>
              <w:rPr>
                <w:rFonts w:hint="eastAsia" w:ascii="Times New Roman" w:hAnsi="Times New Roman" w:cs="Times New Roman"/>
                <w:kern w:val="0"/>
                <w:szCs w:val="21"/>
              </w:rPr>
              <w:t>或SBAS（L</w:t>
            </w:r>
            <w:r>
              <w:rPr>
                <w:rFonts w:ascii="Times New Roman" w:hAnsi="Times New Roman" w:cs="Times New Roman"/>
                <w:kern w:val="0"/>
                <w:szCs w:val="21"/>
              </w:rPr>
              <w:t>1</w:t>
            </w:r>
            <w:r>
              <w:rPr>
                <w:rFonts w:hint="eastAsia" w:ascii="Times New Roman" w:hAnsi="Times New Roman" w:cs="Times New Roman"/>
                <w:kern w:val="0"/>
                <w:szCs w:val="21"/>
              </w:rPr>
              <w:t>/</w:t>
            </w:r>
            <w:r>
              <w:rPr>
                <w:rFonts w:ascii="Times New Roman" w:hAnsi="Times New Roman" w:cs="Times New Roman"/>
                <w:kern w:val="0"/>
                <w:szCs w:val="21"/>
              </w:rPr>
              <w:t>L5</w:t>
            </w:r>
            <w:r>
              <w:rPr>
                <w:rFonts w:hint="eastAsia" w:ascii="Times New Roman" w:hAnsi="Times New Roman" w:cs="Times New Roman"/>
                <w:kern w:val="0"/>
                <w:szCs w:val="21"/>
              </w:rPr>
              <w:t>）</w:t>
            </w:r>
            <w:r>
              <w:rPr>
                <w:rFonts w:ascii="Times New Roman" w:hAnsi="Times New Roman" w:cs="Times New Roman"/>
                <w:kern w:val="0"/>
                <w:szCs w:val="21"/>
              </w:rPr>
              <w:t>中的一种系统的频点。</w:t>
            </w:r>
          </w:p>
        </w:tc>
      </w:tr>
      <w:tr w14:paraId="5005A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4876CE1D">
            <w:pPr>
              <w:jc w:val="center"/>
              <w:rPr>
                <w:rFonts w:ascii="Times New Roman" w:hAnsi="Times New Roman" w:cs="Times New Roman"/>
                <w:kern w:val="0"/>
                <w:szCs w:val="21"/>
              </w:rPr>
            </w:pPr>
            <w:r>
              <w:rPr>
                <w:rFonts w:ascii="Times New Roman" w:hAnsi="Times New Roman" w:cs="Times New Roman"/>
                <w:kern w:val="0"/>
                <w:szCs w:val="21"/>
              </w:rPr>
              <w:t>2</w:t>
            </w:r>
          </w:p>
        </w:tc>
        <w:tc>
          <w:tcPr>
            <w:tcW w:w="2153" w:type="dxa"/>
          </w:tcPr>
          <w:p w14:paraId="655CEF4D">
            <w:pPr>
              <w:jc w:val="center"/>
              <w:rPr>
                <w:rFonts w:ascii="Times New Roman" w:hAnsi="Times New Roman" w:cs="Times New Roman"/>
                <w:kern w:val="0"/>
                <w:szCs w:val="21"/>
              </w:rPr>
            </w:pPr>
            <w:r>
              <w:rPr>
                <w:rFonts w:ascii="Times New Roman" w:hAnsi="Times New Roman" w:cs="Times New Roman"/>
                <w:kern w:val="0"/>
                <w:szCs w:val="21"/>
              </w:rPr>
              <w:t>信号接收灵敏度</w:t>
            </w:r>
          </w:p>
        </w:tc>
        <w:tc>
          <w:tcPr>
            <w:tcW w:w="5245" w:type="dxa"/>
          </w:tcPr>
          <w:p w14:paraId="6F856548">
            <w:pPr>
              <w:jc w:val="center"/>
              <w:rPr>
                <w:rFonts w:ascii="Times New Roman" w:hAnsi="Times New Roman" w:cs="Times New Roman"/>
                <w:kern w:val="0"/>
                <w:szCs w:val="21"/>
              </w:rPr>
            </w:pPr>
            <w:r>
              <w:rPr>
                <w:rFonts w:ascii="Times New Roman" w:hAnsi="Times New Roman" w:cs="Times New Roman"/>
                <w:kern w:val="0"/>
                <w:szCs w:val="21"/>
              </w:rPr>
              <w:t>不低于-130dBm</w:t>
            </w:r>
          </w:p>
        </w:tc>
      </w:tr>
      <w:tr w14:paraId="1A7F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138639A4">
            <w:pPr>
              <w:jc w:val="center"/>
              <w:rPr>
                <w:rFonts w:ascii="Times New Roman" w:hAnsi="Times New Roman" w:cs="Times New Roman"/>
                <w:kern w:val="0"/>
                <w:szCs w:val="21"/>
              </w:rPr>
            </w:pPr>
            <w:r>
              <w:rPr>
                <w:rFonts w:hint="eastAsia" w:ascii="Times New Roman" w:hAnsi="Times New Roman" w:cs="Times New Roman"/>
                <w:kern w:val="0"/>
                <w:szCs w:val="21"/>
              </w:rPr>
              <w:t>3</w:t>
            </w:r>
          </w:p>
        </w:tc>
        <w:tc>
          <w:tcPr>
            <w:tcW w:w="2153" w:type="dxa"/>
          </w:tcPr>
          <w:p w14:paraId="4CF4985C">
            <w:pPr>
              <w:jc w:val="center"/>
              <w:rPr>
                <w:rFonts w:ascii="Times New Roman" w:hAnsi="Times New Roman" w:cs="Times New Roman"/>
                <w:kern w:val="0"/>
                <w:szCs w:val="21"/>
              </w:rPr>
            </w:pPr>
            <w:r>
              <w:rPr>
                <w:rFonts w:ascii="Times New Roman" w:hAnsi="Times New Roman" w:cs="Times New Roman"/>
                <w:kern w:val="0"/>
                <w:szCs w:val="21"/>
              </w:rPr>
              <w:t>初始化时间</w:t>
            </w:r>
          </w:p>
        </w:tc>
        <w:tc>
          <w:tcPr>
            <w:tcW w:w="5245" w:type="dxa"/>
          </w:tcPr>
          <w:p w14:paraId="1047505F">
            <w:pPr>
              <w:jc w:val="center"/>
              <w:rPr>
                <w:rFonts w:ascii="Times New Roman" w:hAnsi="Times New Roman" w:cs="Times New Roman"/>
                <w:kern w:val="0"/>
                <w:szCs w:val="21"/>
              </w:rPr>
            </w:pPr>
            <w:r>
              <w:rPr>
                <w:rFonts w:ascii="Times New Roman" w:hAnsi="Times New Roman" w:cs="Times New Roman"/>
                <w:kern w:val="0"/>
                <w:szCs w:val="21"/>
              </w:rPr>
              <w:t>不大于</w:t>
            </w:r>
            <w:r>
              <w:rPr>
                <w:rFonts w:hint="eastAsia" w:ascii="Times New Roman" w:hAnsi="Times New Roman" w:cs="Times New Roman"/>
                <w:kern w:val="0"/>
                <w:szCs w:val="21"/>
              </w:rPr>
              <w:t>1</w:t>
            </w:r>
            <w:r>
              <w:rPr>
                <w:rFonts w:ascii="Times New Roman" w:hAnsi="Times New Roman" w:cs="Times New Roman"/>
                <w:kern w:val="0"/>
                <w:szCs w:val="21"/>
              </w:rPr>
              <w:t>0s</w:t>
            </w:r>
          </w:p>
        </w:tc>
      </w:tr>
      <w:tr w14:paraId="3A382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2F5BEAC4">
            <w:pPr>
              <w:jc w:val="center"/>
              <w:rPr>
                <w:rFonts w:ascii="Times New Roman" w:hAnsi="Times New Roman" w:cs="Times New Roman"/>
                <w:kern w:val="0"/>
                <w:szCs w:val="21"/>
              </w:rPr>
            </w:pPr>
            <w:r>
              <w:rPr>
                <w:rFonts w:hint="eastAsia" w:ascii="Times New Roman" w:hAnsi="Times New Roman" w:cs="Times New Roman"/>
                <w:kern w:val="0"/>
                <w:szCs w:val="21"/>
              </w:rPr>
              <w:t>4</w:t>
            </w:r>
          </w:p>
        </w:tc>
        <w:tc>
          <w:tcPr>
            <w:tcW w:w="2153" w:type="dxa"/>
          </w:tcPr>
          <w:p w14:paraId="3A4D6B1D">
            <w:pPr>
              <w:jc w:val="center"/>
              <w:rPr>
                <w:rFonts w:ascii="Times New Roman" w:hAnsi="Times New Roman" w:cs="Times New Roman"/>
                <w:kern w:val="0"/>
                <w:szCs w:val="21"/>
              </w:rPr>
            </w:pPr>
            <w:r>
              <w:rPr>
                <w:rFonts w:hint="eastAsia" w:ascii="Times New Roman" w:hAnsi="Times New Roman" w:cs="Times New Roman"/>
                <w:kern w:val="0"/>
                <w:szCs w:val="21"/>
              </w:rPr>
              <w:t>初始化可靠性</w:t>
            </w:r>
          </w:p>
        </w:tc>
        <w:tc>
          <w:tcPr>
            <w:tcW w:w="5245" w:type="dxa"/>
          </w:tcPr>
          <w:p w14:paraId="7185F25E">
            <w:pPr>
              <w:jc w:val="center"/>
              <w:rPr>
                <w:rFonts w:ascii="Times New Roman" w:hAnsi="Times New Roman" w:cs="Times New Roman"/>
                <w:kern w:val="0"/>
                <w:szCs w:val="21"/>
              </w:rPr>
            </w:pPr>
            <w:r>
              <w:rPr>
                <w:rFonts w:ascii="Times New Roman" w:hAnsi="Times New Roman" w:cs="Times New Roman"/>
                <w:kern w:val="0"/>
                <w:szCs w:val="21"/>
              </w:rPr>
              <w:t>大于</w:t>
            </w:r>
            <w:r>
              <w:rPr>
                <w:rFonts w:hint="eastAsia" w:ascii="Times New Roman" w:hAnsi="Times New Roman" w:cs="Times New Roman"/>
                <w:kern w:val="0"/>
                <w:szCs w:val="21"/>
              </w:rPr>
              <w:t>9</w:t>
            </w:r>
            <w:r>
              <w:rPr>
                <w:rFonts w:ascii="Times New Roman" w:hAnsi="Times New Roman" w:cs="Times New Roman"/>
                <w:kern w:val="0"/>
                <w:szCs w:val="21"/>
              </w:rPr>
              <w:t>9.9%</w:t>
            </w:r>
          </w:p>
        </w:tc>
      </w:tr>
      <w:tr w14:paraId="27486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3A28478E">
            <w:pPr>
              <w:jc w:val="center"/>
              <w:rPr>
                <w:rFonts w:ascii="Times New Roman" w:hAnsi="Times New Roman" w:cs="Times New Roman"/>
                <w:kern w:val="0"/>
                <w:szCs w:val="21"/>
              </w:rPr>
            </w:pPr>
            <w:r>
              <w:rPr>
                <w:rFonts w:ascii="Times New Roman" w:hAnsi="Times New Roman" w:cs="Times New Roman"/>
                <w:kern w:val="0"/>
                <w:szCs w:val="21"/>
              </w:rPr>
              <w:t>5</w:t>
            </w:r>
          </w:p>
        </w:tc>
        <w:tc>
          <w:tcPr>
            <w:tcW w:w="2153" w:type="dxa"/>
          </w:tcPr>
          <w:p w14:paraId="398E1E9C">
            <w:pPr>
              <w:jc w:val="center"/>
              <w:rPr>
                <w:rFonts w:ascii="Times New Roman" w:hAnsi="Times New Roman" w:cs="Times New Roman"/>
                <w:kern w:val="0"/>
                <w:szCs w:val="21"/>
              </w:rPr>
            </w:pPr>
            <w:r>
              <w:rPr>
                <w:rFonts w:ascii="Times New Roman" w:hAnsi="Times New Roman" w:cs="Times New Roman"/>
                <w:kern w:val="0"/>
                <w:szCs w:val="21"/>
              </w:rPr>
              <w:t>首次定位时间</w:t>
            </w:r>
          </w:p>
        </w:tc>
        <w:tc>
          <w:tcPr>
            <w:tcW w:w="5245" w:type="dxa"/>
          </w:tcPr>
          <w:p w14:paraId="50E5699C">
            <w:pPr>
              <w:jc w:val="center"/>
              <w:rPr>
                <w:rFonts w:ascii="Times New Roman" w:hAnsi="Times New Roman" w:cs="Times New Roman"/>
                <w:kern w:val="0"/>
                <w:szCs w:val="21"/>
              </w:rPr>
            </w:pPr>
            <w:r>
              <w:rPr>
                <w:rFonts w:ascii="Times New Roman" w:hAnsi="Times New Roman" w:cs="Times New Roman"/>
                <w:kern w:val="0"/>
                <w:szCs w:val="21"/>
              </w:rPr>
              <w:t>冷启动</w:t>
            </w:r>
            <w:r>
              <w:rPr>
                <w:rFonts w:hint="eastAsia" w:ascii="Times New Roman" w:hAnsi="Times New Roman" w:cs="Times New Roman"/>
                <w:kern w:val="0"/>
                <w:szCs w:val="21"/>
              </w:rPr>
              <w:t>：</w:t>
            </w:r>
            <w:r>
              <w:rPr>
                <w:rFonts w:ascii="Times New Roman" w:hAnsi="Times New Roman" w:cs="Times New Roman"/>
                <w:kern w:val="0"/>
                <w:szCs w:val="21"/>
              </w:rPr>
              <w:t>不大于50s；热启动：不大于</w:t>
            </w:r>
            <w:r>
              <w:rPr>
                <w:rFonts w:hint="eastAsia" w:ascii="Times New Roman" w:hAnsi="Times New Roman" w:cs="Times New Roman"/>
                <w:kern w:val="0"/>
                <w:szCs w:val="21"/>
              </w:rPr>
              <w:t>3</w:t>
            </w:r>
            <w:r>
              <w:rPr>
                <w:rFonts w:ascii="Times New Roman" w:hAnsi="Times New Roman" w:cs="Times New Roman"/>
                <w:kern w:val="0"/>
                <w:szCs w:val="21"/>
              </w:rPr>
              <w:t>0s</w:t>
            </w:r>
          </w:p>
        </w:tc>
      </w:tr>
      <w:tr w14:paraId="13EA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681663F0">
            <w:pPr>
              <w:jc w:val="center"/>
              <w:rPr>
                <w:rFonts w:ascii="Times New Roman" w:hAnsi="Times New Roman" w:cs="Times New Roman"/>
                <w:kern w:val="0"/>
                <w:szCs w:val="21"/>
              </w:rPr>
            </w:pPr>
            <w:r>
              <w:rPr>
                <w:rFonts w:hint="eastAsia" w:ascii="Times New Roman" w:hAnsi="Times New Roman" w:cs="Times New Roman"/>
                <w:kern w:val="0"/>
                <w:szCs w:val="21"/>
              </w:rPr>
              <w:t>6</w:t>
            </w:r>
          </w:p>
        </w:tc>
        <w:tc>
          <w:tcPr>
            <w:tcW w:w="2153" w:type="dxa"/>
          </w:tcPr>
          <w:p w14:paraId="5B924576">
            <w:pPr>
              <w:jc w:val="center"/>
              <w:rPr>
                <w:rFonts w:ascii="Times New Roman" w:hAnsi="Times New Roman" w:cs="Times New Roman"/>
                <w:kern w:val="0"/>
                <w:szCs w:val="21"/>
              </w:rPr>
            </w:pPr>
            <w:r>
              <w:rPr>
                <w:rFonts w:ascii="Times New Roman" w:hAnsi="Times New Roman" w:cs="Times New Roman"/>
                <w:kern w:val="0"/>
                <w:szCs w:val="21"/>
              </w:rPr>
              <w:t>重捕获定位</w:t>
            </w:r>
          </w:p>
        </w:tc>
        <w:tc>
          <w:tcPr>
            <w:tcW w:w="5245" w:type="dxa"/>
          </w:tcPr>
          <w:p w14:paraId="3FE3D2D4">
            <w:pPr>
              <w:jc w:val="center"/>
              <w:rPr>
                <w:rFonts w:ascii="Times New Roman" w:hAnsi="Times New Roman" w:cs="Times New Roman"/>
                <w:kern w:val="0"/>
                <w:szCs w:val="21"/>
              </w:rPr>
            </w:pPr>
            <w:r>
              <w:rPr>
                <w:rFonts w:ascii="Times New Roman" w:hAnsi="Times New Roman" w:cs="Times New Roman"/>
                <w:kern w:val="0"/>
                <w:szCs w:val="21"/>
              </w:rPr>
              <w:t>不大于</w:t>
            </w:r>
            <w:r>
              <w:rPr>
                <w:rFonts w:hint="eastAsia" w:ascii="Times New Roman" w:hAnsi="Times New Roman" w:cs="Times New Roman"/>
                <w:kern w:val="0"/>
                <w:szCs w:val="21"/>
              </w:rPr>
              <w:t>2</w:t>
            </w:r>
            <w:r>
              <w:rPr>
                <w:rFonts w:ascii="Times New Roman" w:hAnsi="Times New Roman" w:cs="Times New Roman"/>
                <w:kern w:val="0"/>
                <w:szCs w:val="21"/>
              </w:rPr>
              <w:t>s</w:t>
            </w:r>
          </w:p>
        </w:tc>
      </w:tr>
      <w:tr w14:paraId="3A41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160A1768">
            <w:pPr>
              <w:jc w:val="center"/>
              <w:rPr>
                <w:rFonts w:ascii="Times New Roman" w:hAnsi="Times New Roman" w:cs="Times New Roman"/>
                <w:kern w:val="0"/>
                <w:szCs w:val="21"/>
              </w:rPr>
            </w:pPr>
            <w:r>
              <w:rPr>
                <w:rFonts w:ascii="Times New Roman" w:hAnsi="Times New Roman" w:cs="Times New Roman"/>
                <w:kern w:val="0"/>
                <w:szCs w:val="21"/>
              </w:rPr>
              <w:t>7</w:t>
            </w:r>
          </w:p>
        </w:tc>
        <w:tc>
          <w:tcPr>
            <w:tcW w:w="2153" w:type="dxa"/>
          </w:tcPr>
          <w:p w14:paraId="269C8252">
            <w:pPr>
              <w:jc w:val="center"/>
              <w:rPr>
                <w:rFonts w:ascii="Times New Roman" w:hAnsi="Times New Roman" w:cs="Times New Roman"/>
                <w:kern w:val="0"/>
                <w:szCs w:val="21"/>
              </w:rPr>
            </w:pPr>
            <w:r>
              <w:rPr>
                <w:rFonts w:ascii="Times New Roman" w:hAnsi="Times New Roman" w:cs="Times New Roman"/>
                <w:kern w:val="0"/>
                <w:szCs w:val="21"/>
              </w:rPr>
              <w:t>静态相对定位测量精度</w:t>
            </w:r>
          </w:p>
        </w:tc>
        <w:tc>
          <w:tcPr>
            <w:tcW w:w="5245" w:type="dxa"/>
          </w:tcPr>
          <w:p w14:paraId="164FE386">
            <w:pPr>
              <w:jc w:val="center"/>
              <w:rPr>
                <w:rFonts w:ascii="Times New Roman" w:hAnsi="Times New Roman" w:cs="Times New Roman"/>
                <w:kern w:val="0"/>
                <w:szCs w:val="21"/>
              </w:rPr>
            </w:pPr>
            <w:r>
              <w:rPr>
                <w:rFonts w:ascii="Times New Roman" w:hAnsi="Times New Roman" w:cs="Times New Roman"/>
                <w:kern w:val="0"/>
                <w:szCs w:val="21"/>
              </w:rPr>
              <w:t>平面：</w:t>
            </w:r>
            <w:r>
              <w:rPr>
                <w:rFonts w:hint="eastAsia" w:ascii="Times New Roman" w:hAnsi="Times New Roman" w:cs="Times New Roman"/>
                <w:kern w:val="0"/>
                <w:szCs w:val="21"/>
              </w:rPr>
              <w:t>2</w:t>
            </w:r>
            <w:r>
              <w:rPr>
                <w:rFonts w:ascii="Times New Roman" w:hAnsi="Times New Roman" w:cs="Times New Roman"/>
                <w:kern w:val="0"/>
                <w:szCs w:val="21"/>
              </w:rPr>
              <w:t>.5mm+0.5ppm</w:t>
            </w:r>
          </w:p>
          <w:p w14:paraId="79CD6FE8">
            <w:pPr>
              <w:jc w:val="center"/>
              <w:rPr>
                <w:rFonts w:ascii="Times New Roman" w:hAnsi="Times New Roman" w:cs="Times New Roman"/>
                <w:kern w:val="0"/>
                <w:szCs w:val="21"/>
              </w:rPr>
            </w:pPr>
            <w:r>
              <w:rPr>
                <w:rFonts w:ascii="Times New Roman" w:hAnsi="Times New Roman" w:cs="Times New Roman"/>
                <w:kern w:val="0"/>
                <w:szCs w:val="21"/>
              </w:rPr>
              <w:t>垂直：5mm+0.1ppm</w:t>
            </w:r>
          </w:p>
        </w:tc>
      </w:tr>
      <w:tr w14:paraId="47580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15C3534A">
            <w:pPr>
              <w:jc w:val="center"/>
              <w:rPr>
                <w:rFonts w:ascii="Times New Roman" w:hAnsi="Times New Roman" w:cs="Times New Roman"/>
                <w:kern w:val="0"/>
                <w:szCs w:val="21"/>
              </w:rPr>
            </w:pPr>
            <w:r>
              <w:rPr>
                <w:rFonts w:ascii="Times New Roman" w:hAnsi="Times New Roman" w:cs="Times New Roman"/>
                <w:kern w:val="0"/>
                <w:szCs w:val="21"/>
              </w:rPr>
              <w:t>8</w:t>
            </w:r>
          </w:p>
        </w:tc>
        <w:tc>
          <w:tcPr>
            <w:tcW w:w="2153" w:type="dxa"/>
          </w:tcPr>
          <w:p w14:paraId="475154F7">
            <w:pPr>
              <w:jc w:val="center"/>
              <w:rPr>
                <w:rFonts w:ascii="Times New Roman" w:hAnsi="Times New Roman" w:cs="Times New Roman"/>
                <w:kern w:val="0"/>
                <w:szCs w:val="21"/>
              </w:rPr>
            </w:pPr>
            <w:r>
              <w:rPr>
                <w:rFonts w:hint="eastAsia" w:ascii="Times New Roman" w:hAnsi="Times New Roman" w:cs="Times New Roman"/>
                <w:kern w:val="0"/>
                <w:szCs w:val="21"/>
              </w:rPr>
              <w:t>动态相对定位精度</w:t>
            </w:r>
          </w:p>
        </w:tc>
        <w:tc>
          <w:tcPr>
            <w:tcW w:w="5245" w:type="dxa"/>
          </w:tcPr>
          <w:p w14:paraId="3E2EA975">
            <w:pPr>
              <w:jc w:val="center"/>
              <w:rPr>
                <w:rFonts w:ascii="Times New Roman" w:hAnsi="Times New Roman" w:cs="Times New Roman"/>
                <w:kern w:val="0"/>
                <w:szCs w:val="21"/>
              </w:rPr>
            </w:pPr>
            <w:r>
              <w:rPr>
                <w:rFonts w:ascii="Times New Roman" w:hAnsi="Times New Roman" w:cs="Times New Roman"/>
                <w:kern w:val="0"/>
                <w:szCs w:val="21"/>
              </w:rPr>
              <w:t>平面：8mm+1ppm</w:t>
            </w:r>
          </w:p>
          <w:p w14:paraId="6E543966">
            <w:pPr>
              <w:jc w:val="center"/>
              <w:rPr>
                <w:rFonts w:ascii="Times New Roman" w:hAnsi="Times New Roman" w:cs="Times New Roman"/>
                <w:kern w:val="0"/>
                <w:szCs w:val="21"/>
              </w:rPr>
            </w:pPr>
            <w:r>
              <w:rPr>
                <w:rFonts w:ascii="Times New Roman" w:hAnsi="Times New Roman" w:cs="Times New Roman"/>
                <w:kern w:val="0"/>
                <w:szCs w:val="21"/>
              </w:rPr>
              <w:t>垂直：</w:t>
            </w:r>
            <w:r>
              <w:rPr>
                <w:rFonts w:hint="eastAsia" w:ascii="Times New Roman" w:hAnsi="Times New Roman" w:cs="Times New Roman"/>
                <w:kern w:val="0"/>
                <w:szCs w:val="21"/>
              </w:rPr>
              <w:t>1</w:t>
            </w:r>
            <w:r>
              <w:rPr>
                <w:rFonts w:ascii="Times New Roman" w:hAnsi="Times New Roman" w:cs="Times New Roman"/>
                <w:kern w:val="0"/>
                <w:szCs w:val="21"/>
              </w:rPr>
              <w:t>5mm+1ppm</w:t>
            </w:r>
          </w:p>
        </w:tc>
      </w:tr>
      <w:tr w14:paraId="1E45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45F19572">
            <w:pPr>
              <w:jc w:val="center"/>
              <w:rPr>
                <w:rFonts w:ascii="Times New Roman" w:hAnsi="Times New Roman" w:cs="Times New Roman"/>
                <w:kern w:val="0"/>
                <w:szCs w:val="21"/>
              </w:rPr>
            </w:pPr>
            <w:r>
              <w:rPr>
                <w:rFonts w:hint="eastAsia" w:ascii="Times New Roman" w:hAnsi="Times New Roman" w:cs="Times New Roman"/>
                <w:kern w:val="0"/>
                <w:szCs w:val="21"/>
              </w:rPr>
              <w:t>9</w:t>
            </w:r>
          </w:p>
        </w:tc>
        <w:tc>
          <w:tcPr>
            <w:tcW w:w="2153" w:type="dxa"/>
          </w:tcPr>
          <w:p w14:paraId="755DF6F1">
            <w:pPr>
              <w:jc w:val="center"/>
              <w:rPr>
                <w:rFonts w:ascii="Times New Roman" w:hAnsi="Times New Roman" w:cs="Times New Roman"/>
                <w:kern w:val="0"/>
                <w:szCs w:val="21"/>
              </w:rPr>
            </w:pPr>
            <w:r>
              <w:rPr>
                <w:rFonts w:ascii="Times New Roman" w:hAnsi="Times New Roman" w:cs="Times New Roman"/>
                <w:kern w:val="0"/>
                <w:szCs w:val="21"/>
              </w:rPr>
              <w:t>数据接口</w:t>
            </w:r>
          </w:p>
        </w:tc>
        <w:tc>
          <w:tcPr>
            <w:tcW w:w="5245" w:type="dxa"/>
          </w:tcPr>
          <w:p w14:paraId="29B33BC2">
            <w:pPr>
              <w:jc w:val="center"/>
              <w:rPr>
                <w:rFonts w:ascii="Times New Roman" w:hAnsi="Times New Roman" w:cs="Times New Roman"/>
                <w:kern w:val="0"/>
                <w:szCs w:val="21"/>
              </w:rPr>
            </w:pPr>
            <w:r>
              <w:rPr>
                <w:rFonts w:hint="eastAsia" w:ascii="Times New Roman" w:hAnsi="Times New Roman" w:cs="Times New Roman"/>
                <w:kern w:val="0"/>
                <w:szCs w:val="21"/>
              </w:rPr>
              <w:t>2个RS232/485接口，1个USB2.0接口，1个PPS输出。1个EVENT接口，1个CAN接口，1个电源接口，1个4G网络天线接口，1个BT/wIFI天线接口;</w:t>
            </w:r>
          </w:p>
        </w:tc>
      </w:tr>
      <w:tr w14:paraId="0C9E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39282A33">
            <w:pPr>
              <w:jc w:val="center"/>
              <w:rPr>
                <w:rFonts w:ascii="Times New Roman" w:hAnsi="Times New Roman" w:cs="Times New Roman"/>
                <w:kern w:val="0"/>
                <w:szCs w:val="21"/>
              </w:rPr>
            </w:pPr>
            <w:r>
              <w:rPr>
                <w:rFonts w:hint="eastAsia" w:ascii="Times New Roman" w:hAnsi="Times New Roman" w:cs="Times New Roman"/>
                <w:kern w:val="0"/>
                <w:szCs w:val="21"/>
              </w:rPr>
              <w:t>1</w:t>
            </w:r>
            <w:r>
              <w:rPr>
                <w:rFonts w:ascii="Times New Roman" w:hAnsi="Times New Roman" w:cs="Times New Roman"/>
                <w:kern w:val="0"/>
                <w:szCs w:val="21"/>
              </w:rPr>
              <w:t>0</w:t>
            </w:r>
          </w:p>
        </w:tc>
        <w:tc>
          <w:tcPr>
            <w:tcW w:w="2153" w:type="dxa"/>
          </w:tcPr>
          <w:p w14:paraId="0ECF6313">
            <w:pPr>
              <w:jc w:val="center"/>
              <w:rPr>
                <w:rFonts w:ascii="Times New Roman" w:hAnsi="Times New Roman" w:cs="Times New Roman"/>
                <w:kern w:val="0"/>
                <w:szCs w:val="21"/>
              </w:rPr>
            </w:pPr>
            <w:r>
              <w:rPr>
                <w:rFonts w:ascii="Times New Roman" w:hAnsi="Times New Roman" w:cs="Times New Roman"/>
                <w:kern w:val="0"/>
                <w:szCs w:val="21"/>
              </w:rPr>
              <w:t>无线通信</w:t>
            </w:r>
          </w:p>
        </w:tc>
        <w:tc>
          <w:tcPr>
            <w:tcW w:w="5245" w:type="dxa"/>
          </w:tcPr>
          <w:p w14:paraId="4CD84D6B">
            <w:pPr>
              <w:jc w:val="center"/>
              <w:rPr>
                <w:rFonts w:ascii="Times New Roman" w:hAnsi="Times New Roman" w:cs="Times New Roman"/>
                <w:kern w:val="0"/>
                <w:szCs w:val="21"/>
              </w:rPr>
            </w:pPr>
            <w:r>
              <w:rPr>
                <w:rFonts w:hint="eastAsia" w:ascii="Times New Roman" w:hAnsi="Times New Roman" w:cs="Times New Roman"/>
                <w:kern w:val="0"/>
                <w:szCs w:val="21"/>
              </w:rPr>
              <w:t>支持蓝牙、WIFI， 支持移动/联通/电信，支持2/3/4G网络;</w:t>
            </w:r>
          </w:p>
        </w:tc>
      </w:tr>
      <w:tr w14:paraId="08E9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76ADC296">
            <w:pPr>
              <w:jc w:val="center"/>
              <w:rPr>
                <w:rFonts w:ascii="Times New Roman" w:hAnsi="Times New Roman" w:cs="Times New Roman"/>
                <w:kern w:val="0"/>
                <w:szCs w:val="21"/>
              </w:rPr>
            </w:pPr>
            <w:r>
              <w:rPr>
                <w:rFonts w:ascii="Times New Roman" w:hAnsi="Times New Roman" w:cs="Times New Roman"/>
                <w:kern w:val="0"/>
                <w:szCs w:val="21"/>
              </w:rPr>
              <w:t>11</w:t>
            </w:r>
          </w:p>
        </w:tc>
        <w:tc>
          <w:tcPr>
            <w:tcW w:w="2153" w:type="dxa"/>
          </w:tcPr>
          <w:p w14:paraId="694ABC76">
            <w:pPr>
              <w:jc w:val="center"/>
              <w:rPr>
                <w:rFonts w:ascii="Times New Roman" w:hAnsi="Times New Roman" w:cs="Times New Roman"/>
                <w:kern w:val="0"/>
                <w:szCs w:val="21"/>
              </w:rPr>
            </w:pPr>
            <w:r>
              <w:rPr>
                <w:rFonts w:ascii="Times New Roman" w:hAnsi="Times New Roman" w:cs="Times New Roman"/>
                <w:kern w:val="0"/>
                <w:szCs w:val="21"/>
              </w:rPr>
              <w:t>存储</w:t>
            </w:r>
          </w:p>
        </w:tc>
        <w:tc>
          <w:tcPr>
            <w:tcW w:w="5245" w:type="dxa"/>
          </w:tcPr>
          <w:p w14:paraId="24179A7B">
            <w:pPr>
              <w:jc w:val="center"/>
              <w:rPr>
                <w:rFonts w:ascii="Times New Roman" w:hAnsi="Times New Roman" w:cs="Times New Roman"/>
                <w:kern w:val="0"/>
                <w:szCs w:val="21"/>
              </w:rPr>
            </w:pPr>
            <w:r>
              <w:rPr>
                <w:rFonts w:ascii="Times New Roman" w:hAnsi="Times New Roman" w:cs="Times New Roman"/>
                <w:kern w:val="0"/>
                <w:szCs w:val="21"/>
              </w:rPr>
              <w:t>容量不小于30天（</w:t>
            </w:r>
            <w:r>
              <w:rPr>
                <w:rFonts w:hint="eastAsia" w:ascii="Times New Roman" w:hAnsi="Times New Roman" w:cs="Times New Roman"/>
                <w:kern w:val="0"/>
                <w:szCs w:val="21"/>
              </w:rPr>
              <w:t>1s采样间隔</w:t>
            </w:r>
            <w:r>
              <w:rPr>
                <w:rFonts w:ascii="Times New Roman" w:hAnsi="Times New Roman" w:cs="Times New Roman"/>
                <w:kern w:val="0"/>
                <w:szCs w:val="21"/>
              </w:rPr>
              <w:t>）；</w:t>
            </w:r>
          </w:p>
          <w:p w14:paraId="13B96B0D">
            <w:pPr>
              <w:jc w:val="center"/>
              <w:rPr>
                <w:rFonts w:ascii="Times New Roman" w:hAnsi="Times New Roman" w:cs="Times New Roman"/>
                <w:kern w:val="0"/>
                <w:szCs w:val="21"/>
              </w:rPr>
            </w:pPr>
            <w:r>
              <w:rPr>
                <w:rFonts w:ascii="Times New Roman" w:hAnsi="Times New Roman" w:cs="Times New Roman"/>
                <w:kern w:val="0"/>
                <w:szCs w:val="21"/>
              </w:rPr>
              <w:t>支持Binary、RINEX、BINEX存储格式及实时动态数据上传</w:t>
            </w:r>
          </w:p>
        </w:tc>
      </w:tr>
      <w:tr w14:paraId="133BA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6DE67718">
            <w:pPr>
              <w:jc w:val="center"/>
              <w:rPr>
                <w:rFonts w:ascii="Times New Roman" w:hAnsi="Times New Roman" w:cs="Times New Roman"/>
                <w:kern w:val="0"/>
                <w:szCs w:val="21"/>
              </w:rPr>
            </w:pPr>
            <w:r>
              <w:rPr>
                <w:rFonts w:ascii="Times New Roman" w:hAnsi="Times New Roman" w:cs="Times New Roman"/>
                <w:kern w:val="0"/>
                <w:szCs w:val="21"/>
              </w:rPr>
              <w:t>12</w:t>
            </w:r>
          </w:p>
        </w:tc>
        <w:tc>
          <w:tcPr>
            <w:tcW w:w="2153" w:type="dxa"/>
          </w:tcPr>
          <w:p w14:paraId="04065335">
            <w:pPr>
              <w:jc w:val="center"/>
              <w:rPr>
                <w:rFonts w:ascii="Times New Roman" w:hAnsi="Times New Roman" w:cs="Times New Roman"/>
                <w:kern w:val="0"/>
                <w:szCs w:val="21"/>
              </w:rPr>
            </w:pPr>
            <w:r>
              <w:rPr>
                <w:rFonts w:ascii="Times New Roman" w:hAnsi="Times New Roman" w:cs="Times New Roman"/>
                <w:kern w:val="0"/>
                <w:szCs w:val="21"/>
              </w:rPr>
              <w:t>数据更新频率</w:t>
            </w:r>
          </w:p>
        </w:tc>
        <w:tc>
          <w:tcPr>
            <w:tcW w:w="5245" w:type="dxa"/>
          </w:tcPr>
          <w:p w14:paraId="220EB321">
            <w:pPr>
              <w:jc w:val="center"/>
              <w:rPr>
                <w:rFonts w:ascii="Times New Roman" w:hAnsi="Times New Roman" w:cs="Times New Roman"/>
                <w:kern w:val="0"/>
                <w:szCs w:val="21"/>
              </w:rPr>
            </w:pPr>
            <w:r>
              <w:rPr>
                <w:rFonts w:ascii="Times New Roman" w:hAnsi="Times New Roman" w:cs="Times New Roman"/>
                <w:kern w:val="0"/>
                <w:szCs w:val="21"/>
              </w:rPr>
              <w:t>支持1Hz、5Hz、10Hz、20Hz、50Hz</w:t>
            </w:r>
          </w:p>
        </w:tc>
      </w:tr>
      <w:tr w14:paraId="5A9C6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dxa"/>
          </w:tcPr>
          <w:p w14:paraId="6B371134">
            <w:pPr>
              <w:jc w:val="center"/>
              <w:rPr>
                <w:rFonts w:ascii="Times New Roman" w:hAnsi="Times New Roman" w:cs="Times New Roman"/>
                <w:kern w:val="0"/>
                <w:szCs w:val="21"/>
              </w:rPr>
            </w:pPr>
            <w:r>
              <w:rPr>
                <w:rFonts w:ascii="Times New Roman" w:hAnsi="Times New Roman" w:cs="Times New Roman"/>
                <w:kern w:val="0"/>
                <w:szCs w:val="21"/>
              </w:rPr>
              <w:t>13</w:t>
            </w:r>
          </w:p>
        </w:tc>
        <w:tc>
          <w:tcPr>
            <w:tcW w:w="2153" w:type="dxa"/>
          </w:tcPr>
          <w:p w14:paraId="1A1E1B16">
            <w:pPr>
              <w:jc w:val="center"/>
              <w:rPr>
                <w:rFonts w:ascii="Times New Roman" w:hAnsi="Times New Roman" w:cs="Times New Roman"/>
                <w:kern w:val="0"/>
                <w:szCs w:val="21"/>
              </w:rPr>
            </w:pPr>
            <w:r>
              <w:rPr>
                <w:rFonts w:ascii="Times New Roman" w:hAnsi="Times New Roman" w:cs="Times New Roman"/>
                <w:kern w:val="0"/>
                <w:szCs w:val="21"/>
              </w:rPr>
              <w:t>功耗</w:t>
            </w:r>
          </w:p>
        </w:tc>
        <w:tc>
          <w:tcPr>
            <w:tcW w:w="5245" w:type="dxa"/>
          </w:tcPr>
          <w:p w14:paraId="0D4E9806">
            <w:pPr>
              <w:jc w:val="center"/>
              <w:rPr>
                <w:rFonts w:ascii="Times New Roman" w:hAnsi="Times New Roman" w:cs="Times New Roman"/>
                <w:kern w:val="0"/>
                <w:szCs w:val="21"/>
              </w:rPr>
            </w:pPr>
            <w:r>
              <w:rPr>
                <w:rFonts w:ascii="Times New Roman" w:hAnsi="Times New Roman" w:cs="Times New Roman"/>
                <w:kern w:val="0"/>
                <w:szCs w:val="21"/>
              </w:rPr>
              <w:t>不大于5W</w:t>
            </w:r>
          </w:p>
        </w:tc>
      </w:tr>
      <w:tr w14:paraId="4E66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8217" w:type="dxa"/>
            <w:gridSpan w:val="3"/>
          </w:tcPr>
          <w:p w14:paraId="52AB54C9">
            <w:pPr>
              <w:rPr>
                <w:rFonts w:ascii="Times New Roman" w:hAnsi="Times New Roman" w:cs="Times New Roman"/>
                <w:kern w:val="0"/>
                <w:szCs w:val="21"/>
              </w:rPr>
            </w:pPr>
            <w:r>
              <w:rPr>
                <w:rFonts w:ascii="Times New Roman" w:hAnsi="Times New Roman" w:eastAsia="黑体" w:cs="Times New Roman"/>
                <w:kern w:val="0"/>
                <w:sz w:val="18"/>
                <w:szCs w:val="18"/>
              </w:rPr>
              <w:t>注</w:t>
            </w:r>
            <w:r>
              <w:rPr>
                <w:rFonts w:ascii="Times New Roman" w:hAnsi="Times New Roman" w:cs="Times New Roman"/>
                <w:kern w:val="0"/>
                <w:sz w:val="18"/>
                <w:szCs w:val="18"/>
              </w:rPr>
              <w:t>：</w:t>
            </w:r>
            <w:r>
              <w:rPr>
                <w:rFonts w:ascii="Times New Roman" w:hAnsi="Times New Roman" w:cs="Times New Roman"/>
                <w:kern w:val="0"/>
                <w:sz w:val="18"/>
                <w:szCs w:val="21"/>
              </w:rPr>
              <w:t>D</w:t>
            </w:r>
            <w:r>
              <w:rPr>
                <w:rFonts w:hint="eastAsia" w:ascii="Times New Roman" w:hAnsi="Times New Roman" w:cs="Times New Roman"/>
                <w:kern w:val="0"/>
                <w:sz w:val="18"/>
                <w:szCs w:val="21"/>
              </w:rPr>
              <w:t>为基线长度，单位为</w:t>
            </w:r>
            <w:r>
              <w:rPr>
                <w:rFonts w:ascii="Times New Roman" w:hAnsi="Times New Roman" w:cs="Times New Roman"/>
                <w:kern w:val="0"/>
                <w:sz w:val="18"/>
                <w:szCs w:val="21"/>
              </w:rPr>
              <w:t>KM</w:t>
            </w:r>
            <w:r>
              <w:rPr>
                <w:rFonts w:hint="eastAsia" w:ascii="Times New Roman" w:hAnsi="Times New Roman" w:cs="Times New Roman"/>
                <w:kern w:val="0"/>
                <w:sz w:val="18"/>
                <w:szCs w:val="21"/>
              </w:rPr>
              <w:t>。</w:t>
            </w:r>
          </w:p>
        </w:tc>
      </w:tr>
    </w:tbl>
    <w:p w14:paraId="089E61DE">
      <w:pPr>
        <w:spacing w:line="360" w:lineRule="auto"/>
        <w:rPr>
          <w:rFonts w:cs="Times New Roman" w:asciiTheme="majorEastAsia" w:hAnsiTheme="majorEastAsia" w:eastAsiaTheme="majorEastAsia"/>
          <w:kern w:val="0"/>
          <w:szCs w:val="21"/>
        </w:rPr>
      </w:pPr>
    </w:p>
    <w:p w14:paraId="536C7DAC">
      <w:pPr>
        <w:spacing w:line="360" w:lineRule="auto"/>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5.2</w:t>
      </w:r>
      <w:r>
        <w:rPr>
          <w:rFonts w:cs="Times New Roman" w:asciiTheme="majorEastAsia" w:hAnsiTheme="majorEastAsia" w:eastAsiaTheme="majorEastAsia"/>
          <w:kern w:val="0"/>
          <w:szCs w:val="21"/>
        </w:rPr>
        <w:t xml:space="preserve">.2  </w:t>
      </w:r>
      <w:r>
        <w:rPr>
          <w:rFonts w:hint="eastAsia" w:cs="Times New Roman" w:asciiTheme="majorEastAsia" w:hAnsiTheme="majorEastAsia" w:eastAsiaTheme="majorEastAsia"/>
          <w:kern w:val="0"/>
          <w:szCs w:val="21"/>
        </w:rPr>
        <w:t>监测站北斗接收机技术要求应符合表2的规定。</w:t>
      </w:r>
    </w:p>
    <w:p w14:paraId="48A41C9E">
      <w:pPr>
        <w:spacing w:line="360" w:lineRule="auto"/>
        <w:ind w:firstLine="420" w:firstLineChars="200"/>
        <w:jc w:val="center"/>
        <w:rPr>
          <w:rFonts w:ascii="Times New Roman" w:hAnsi="Times New Roman" w:eastAsia="黑体" w:cs="Times New Roman"/>
          <w:kern w:val="0"/>
          <w:szCs w:val="21"/>
        </w:rPr>
      </w:pPr>
      <w:r>
        <w:rPr>
          <w:rFonts w:ascii="Times New Roman" w:hAnsi="Times New Roman" w:eastAsia="黑体" w:cs="Times New Roman"/>
          <w:kern w:val="0"/>
          <w:szCs w:val="21"/>
        </w:rPr>
        <w:t>表</w:t>
      </w:r>
      <w:r>
        <w:rPr>
          <w:rFonts w:hint="eastAsia" w:ascii="Times New Roman" w:hAnsi="Times New Roman" w:eastAsia="黑体" w:cs="Times New Roman"/>
          <w:kern w:val="0"/>
          <w:szCs w:val="21"/>
        </w:rPr>
        <w:t>2</w:t>
      </w:r>
      <w:r>
        <w:rPr>
          <w:rFonts w:ascii="Times New Roman" w:hAnsi="Times New Roman" w:eastAsia="黑体" w:cs="Times New Roman"/>
          <w:kern w:val="0"/>
          <w:szCs w:val="21"/>
        </w:rPr>
        <w:t xml:space="preserve">  监测站</w:t>
      </w:r>
      <w:r>
        <w:rPr>
          <w:rFonts w:hint="eastAsia" w:ascii="Times New Roman" w:hAnsi="Times New Roman" w:eastAsia="黑体" w:cs="Times New Roman"/>
          <w:kern w:val="0"/>
          <w:szCs w:val="21"/>
        </w:rPr>
        <w:t>北斗</w:t>
      </w:r>
      <w:r>
        <w:rPr>
          <w:rFonts w:ascii="Times New Roman" w:hAnsi="Times New Roman" w:eastAsia="黑体" w:cs="Times New Roman"/>
          <w:kern w:val="0"/>
          <w:szCs w:val="21"/>
        </w:rPr>
        <w:t>接收机技术要求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552"/>
        <w:gridCol w:w="5040"/>
      </w:tblGrid>
      <w:tr w14:paraId="3EFE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130E3E6">
            <w:pPr>
              <w:jc w:val="center"/>
              <w:rPr>
                <w:rFonts w:ascii="Times New Roman" w:hAnsi="Times New Roman" w:cs="Times New Roman"/>
                <w:kern w:val="0"/>
                <w:szCs w:val="21"/>
              </w:rPr>
            </w:pPr>
            <w:r>
              <w:rPr>
                <w:rFonts w:ascii="Times New Roman" w:hAnsi="Times New Roman" w:cs="Times New Roman"/>
                <w:kern w:val="0"/>
                <w:szCs w:val="21"/>
              </w:rPr>
              <w:t>序号</w:t>
            </w:r>
          </w:p>
        </w:tc>
        <w:tc>
          <w:tcPr>
            <w:tcW w:w="2552" w:type="dxa"/>
          </w:tcPr>
          <w:p w14:paraId="2FE6C9A8">
            <w:pPr>
              <w:jc w:val="center"/>
              <w:rPr>
                <w:rFonts w:ascii="Times New Roman" w:hAnsi="Times New Roman" w:cs="Times New Roman"/>
                <w:kern w:val="0"/>
                <w:szCs w:val="21"/>
              </w:rPr>
            </w:pPr>
            <w:r>
              <w:rPr>
                <w:rFonts w:ascii="Times New Roman" w:hAnsi="Times New Roman" w:cs="Times New Roman"/>
                <w:kern w:val="0"/>
                <w:szCs w:val="21"/>
              </w:rPr>
              <w:t>性能指标</w:t>
            </w:r>
          </w:p>
        </w:tc>
        <w:tc>
          <w:tcPr>
            <w:tcW w:w="5040" w:type="dxa"/>
          </w:tcPr>
          <w:p w14:paraId="28DA2DE1">
            <w:pPr>
              <w:jc w:val="center"/>
              <w:rPr>
                <w:rFonts w:ascii="Times New Roman" w:hAnsi="Times New Roman" w:cs="Times New Roman"/>
                <w:kern w:val="0"/>
                <w:szCs w:val="21"/>
              </w:rPr>
            </w:pPr>
            <w:r>
              <w:rPr>
                <w:rFonts w:ascii="Times New Roman" w:hAnsi="Times New Roman" w:cs="Times New Roman"/>
                <w:kern w:val="0"/>
                <w:szCs w:val="21"/>
              </w:rPr>
              <w:t>技术要求</w:t>
            </w:r>
          </w:p>
        </w:tc>
      </w:tr>
      <w:tr w14:paraId="46D6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5B5AED6A">
            <w:pPr>
              <w:jc w:val="center"/>
              <w:rPr>
                <w:rFonts w:ascii="Times New Roman" w:hAnsi="Times New Roman" w:cs="Times New Roman"/>
                <w:kern w:val="0"/>
                <w:szCs w:val="21"/>
              </w:rPr>
            </w:pPr>
            <w:r>
              <w:rPr>
                <w:rFonts w:ascii="Times New Roman" w:hAnsi="Times New Roman" w:cs="Times New Roman"/>
                <w:kern w:val="0"/>
                <w:szCs w:val="21"/>
              </w:rPr>
              <w:t>1</w:t>
            </w:r>
          </w:p>
        </w:tc>
        <w:tc>
          <w:tcPr>
            <w:tcW w:w="2552" w:type="dxa"/>
          </w:tcPr>
          <w:p w14:paraId="5801C1B8">
            <w:pPr>
              <w:jc w:val="left"/>
              <w:rPr>
                <w:rFonts w:ascii="Times New Roman" w:hAnsi="Times New Roman" w:cs="Times New Roman"/>
                <w:kern w:val="0"/>
                <w:szCs w:val="21"/>
              </w:rPr>
            </w:pPr>
            <w:r>
              <w:rPr>
                <w:rFonts w:ascii="Times New Roman" w:hAnsi="Times New Roman" w:cs="Times New Roman"/>
                <w:kern w:val="0"/>
                <w:szCs w:val="21"/>
              </w:rPr>
              <w:t>工作频点</w:t>
            </w:r>
          </w:p>
        </w:tc>
        <w:tc>
          <w:tcPr>
            <w:tcW w:w="5040" w:type="dxa"/>
          </w:tcPr>
          <w:p w14:paraId="16267034">
            <w:pPr>
              <w:rPr>
                <w:rFonts w:ascii="Times New Roman" w:hAnsi="Times New Roman" w:cs="Times New Roman"/>
                <w:kern w:val="0"/>
                <w:szCs w:val="21"/>
              </w:rPr>
            </w:pPr>
            <w:r>
              <w:rPr>
                <w:rFonts w:ascii="Times New Roman" w:hAnsi="Times New Roman" w:cs="Times New Roman"/>
                <w:kern w:val="0"/>
                <w:szCs w:val="21"/>
              </w:rPr>
              <w:t>应能支持BDS（B1/B2/B3）频点，</w:t>
            </w:r>
            <w:r>
              <w:rPr>
                <w:rFonts w:hint="eastAsia" w:ascii="Times New Roman" w:hAnsi="Times New Roman" w:cs="Times New Roman"/>
                <w:kern w:val="0"/>
                <w:szCs w:val="21"/>
              </w:rPr>
              <w:t>克</w:t>
            </w:r>
            <w:r>
              <w:rPr>
                <w:rFonts w:ascii="Times New Roman" w:hAnsi="Times New Roman" w:cs="Times New Roman"/>
                <w:kern w:val="0"/>
                <w:szCs w:val="21"/>
              </w:rPr>
              <w:t>兼顾GPS（L1/L2/L5）或GLONASS（L1/L2）、GALILEO（E1/E5）中的一种系统的频点。</w:t>
            </w:r>
          </w:p>
        </w:tc>
      </w:tr>
      <w:tr w14:paraId="6BEF5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08162AB">
            <w:pPr>
              <w:jc w:val="center"/>
              <w:rPr>
                <w:rFonts w:ascii="Times New Roman" w:hAnsi="Times New Roman" w:cs="Times New Roman"/>
                <w:kern w:val="0"/>
                <w:szCs w:val="21"/>
              </w:rPr>
            </w:pPr>
            <w:r>
              <w:rPr>
                <w:rFonts w:ascii="Times New Roman" w:hAnsi="Times New Roman" w:cs="Times New Roman"/>
                <w:kern w:val="0"/>
                <w:szCs w:val="21"/>
              </w:rPr>
              <w:t>2</w:t>
            </w:r>
          </w:p>
        </w:tc>
        <w:tc>
          <w:tcPr>
            <w:tcW w:w="2552" w:type="dxa"/>
          </w:tcPr>
          <w:p w14:paraId="436C1AB3">
            <w:pPr>
              <w:jc w:val="left"/>
              <w:rPr>
                <w:rFonts w:ascii="Times New Roman" w:hAnsi="Times New Roman" w:cs="Times New Roman"/>
                <w:kern w:val="0"/>
                <w:szCs w:val="21"/>
              </w:rPr>
            </w:pPr>
            <w:r>
              <w:rPr>
                <w:rFonts w:ascii="Times New Roman" w:hAnsi="Times New Roman" w:cs="Times New Roman"/>
                <w:kern w:val="0"/>
                <w:szCs w:val="21"/>
              </w:rPr>
              <w:t>信号接收灵敏度</w:t>
            </w:r>
          </w:p>
        </w:tc>
        <w:tc>
          <w:tcPr>
            <w:tcW w:w="5040" w:type="dxa"/>
          </w:tcPr>
          <w:p w14:paraId="43AFAA62">
            <w:pPr>
              <w:jc w:val="center"/>
              <w:rPr>
                <w:rFonts w:ascii="Times New Roman" w:hAnsi="Times New Roman" w:cs="Times New Roman"/>
                <w:kern w:val="0"/>
                <w:szCs w:val="21"/>
              </w:rPr>
            </w:pPr>
            <w:r>
              <w:rPr>
                <w:rFonts w:ascii="Times New Roman" w:hAnsi="Times New Roman" w:cs="Times New Roman"/>
                <w:kern w:val="0"/>
                <w:szCs w:val="21"/>
              </w:rPr>
              <w:t>不低于-130dBm</w:t>
            </w:r>
          </w:p>
        </w:tc>
      </w:tr>
      <w:tr w14:paraId="549F7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4672BCE6">
            <w:pPr>
              <w:jc w:val="center"/>
              <w:rPr>
                <w:rFonts w:ascii="Times New Roman" w:hAnsi="Times New Roman" w:cs="Times New Roman"/>
                <w:kern w:val="0"/>
                <w:szCs w:val="21"/>
              </w:rPr>
            </w:pPr>
            <w:r>
              <w:rPr>
                <w:rFonts w:ascii="Times New Roman" w:hAnsi="Times New Roman" w:cs="Times New Roman"/>
                <w:kern w:val="0"/>
                <w:szCs w:val="21"/>
              </w:rPr>
              <w:t>3</w:t>
            </w:r>
          </w:p>
        </w:tc>
        <w:tc>
          <w:tcPr>
            <w:tcW w:w="2552" w:type="dxa"/>
          </w:tcPr>
          <w:p w14:paraId="12124DE4">
            <w:pPr>
              <w:jc w:val="left"/>
              <w:rPr>
                <w:rFonts w:ascii="Times New Roman" w:hAnsi="Times New Roman" w:cs="Times New Roman"/>
                <w:kern w:val="0"/>
                <w:szCs w:val="21"/>
              </w:rPr>
            </w:pPr>
            <w:r>
              <w:rPr>
                <w:rFonts w:ascii="Times New Roman" w:hAnsi="Times New Roman" w:cs="Times New Roman"/>
                <w:kern w:val="0"/>
                <w:szCs w:val="21"/>
              </w:rPr>
              <w:t>首次定位时间（冷启动）</w:t>
            </w:r>
          </w:p>
        </w:tc>
        <w:tc>
          <w:tcPr>
            <w:tcW w:w="5040" w:type="dxa"/>
          </w:tcPr>
          <w:p w14:paraId="6A9B5910">
            <w:pPr>
              <w:jc w:val="center"/>
              <w:rPr>
                <w:rFonts w:ascii="Times New Roman" w:hAnsi="Times New Roman" w:cs="Times New Roman"/>
                <w:kern w:val="0"/>
                <w:szCs w:val="21"/>
              </w:rPr>
            </w:pPr>
            <w:r>
              <w:rPr>
                <w:rFonts w:ascii="Times New Roman" w:hAnsi="Times New Roman" w:cs="Times New Roman"/>
                <w:kern w:val="0"/>
                <w:szCs w:val="21"/>
              </w:rPr>
              <w:t>不大于50s</w:t>
            </w:r>
          </w:p>
        </w:tc>
      </w:tr>
      <w:tr w14:paraId="2178B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178FF085">
            <w:pPr>
              <w:jc w:val="center"/>
              <w:rPr>
                <w:rFonts w:ascii="Times New Roman" w:hAnsi="Times New Roman" w:cs="Times New Roman"/>
                <w:kern w:val="0"/>
                <w:szCs w:val="21"/>
              </w:rPr>
            </w:pPr>
            <w:r>
              <w:rPr>
                <w:rFonts w:ascii="Times New Roman" w:hAnsi="Times New Roman" w:cs="Times New Roman"/>
                <w:kern w:val="0"/>
                <w:szCs w:val="21"/>
              </w:rPr>
              <w:t>4</w:t>
            </w:r>
          </w:p>
        </w:tc>
        <w:tc>
          <w:tcPr>
            <w:tcW w:w="2552" w:type="dxa"/>
          </w:tcPr>
          <w:p w14:paraId="0EF9BB9D">
            <w:pPr>
              <w:jc w:val="left"/>
              <w:rPr>
                <w:rFonts w:ascii="Times New Roman" w:hAnsi="Times New Roman" w:cs="Times New Roman"/>
                <w:kern w:val="0"/>
                <w:szCs w:val="21"/>
              </w:rPr>
            </w:pPr>
            <w:r>
              <w:rPr>
                <w:rFonts w:ascii="Times New Roman" w:hAnsi="Times New Roman" w:cs="Times New Roman"/>
                <w:kern w:val="0"/>
                <w:szCs w:val="21"/>
              </w:rPr>
              <w:t>静态相对定位测量精度</w:t>
            </w:r>
          </w:p>
        </w:tc>
        <w:tc>
          <w:tcPr>
            <w:tcW w:w="5040" w:type="dxa"/>
          </w:tcPr>
          <w:p w14:paraId="32FE6E28">
            <w:pPr>
              <w:jc w:val="center"/>
              <w:rPr>
                <w:rFonts w:ascii="Times New Roman" w:hAnsi="Times New Roman" w:cs="Times New Roman"/>
                <w:kern w:val="0"/>
                <w:szCs w:val="21"/>
              </w:rPr>
            </w:pPr>
            <w:r>
              <w:rPr>
                <w:rFonts w:ascii="Times New Roman" w:hAnsi="Times New Roman" w:cs="Times New Roman"/>
                <w:kern w:val="0"/>
                <w:szCs w:val="21"/>
              </w:rPr>
              <w:t>平面：</w:t>
            </w:r>
            <w:r>
              <w:rPr>
                <w:rFonts w:hint="eastAsia" w:ascii="Times New Roman" w:hAnsi="Times New Roman" w:cs="Times New Roman"/>
                <w:kern w:val="0"/>
                <w:szCs w:val="21"/>
              </w:rPr>
              <w:t>2</w:t>
            </w:r>
            <w:r>
              <w:rPr>
                <w:rFonts w:ascii="Times New Roman" w:hAnsi="Times New Roman" w:cs="Times New Roman"/>
                <w:kern w:val="0"/>
                <w:szCs w:val="21"/>
              </w:rPr>
              <w:t>.5mm+0.5ppm</w:t>
            </w:r>
          </w:p>
          <w:p w14:paraId="64775781">
            <w:pPr>
              <w:jc w:val="center"/>
              <w:rPr>
                <w:rFonts w:ascii="Times New Roman" w:hAnsi="Times New Roman" w:cs="Times New Roman"/>
                <w:kern w:val="0"/>
                <w:szCs w:val="21"/>
              </w:rPr>
            </w:pPr>
            <w:r>
              <w:rPr>
                <w:rFonts w:ascii="Times New Roman" w:hAnsi="Times New Roman" w:cs="Times New Roman"/>
                <w:kern w:val="0"/>
                <w:szCs w:val="21"/>
              </w:rPr>
              <w:t>垂直：5mm+0.1ppm</w:t>
            </w:r>
          </w:p>
        </w:tc>
      </w:tr>
      <w:tr w14:paraId="0E95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7AF8722">
            <w:pPr>
              <w:jc w:val="center"/>
              <w:rPr>
                <w:rFonts w:ascii="Times New Roman" w:hAnsi="Times New Roman" w:cs="Times New Roman"/>
                <w:kern w:val="0"/>
                <w:szCs w:val="21"/>
              </w:rPr>
            </w:pPr>
            <w:r>
              <w:rPr>
                <w:rFonts w:ascii="Times New Roman" w:hAnsi="Times New Roman" w:cs="Times New Roman"/>
                <w:kern w:val="0"/>
                <w:szCs w:val="21"/>
              </w:rPr>
              <w:t>5</w:t>
            </w:r>
          </w:p>
        </w:tc>
        <w:tc>
          <w:tcPr>
            <w:tcW w:w="2552" w:type="dxa"/>
          </w:tcPr>
          <w:p w14:paraId="688EFC02">
            <w:pPr>
              <w:jc w:val="left"/>
              <w:rPr>
                <w:rFonts w:ascii="Times New Roman" w:hAnsi="Times New Roman" w:cs="Times New Roman"/>
                <w:kern w:val="0"/>
                <w:szCs w:val="21"/>
              </w:rPr>
            </w:pPr>
            <w:r>
              <w:rPr>
                <w:rFonts w:hint="eastAsia" w:ascii="Times New Roman" w:hAnsi="Times New Roman" w:cs="Times New Roman"/>
                <w:kern w:val="0"/>
                <w:szCs w:val="21"/>
              </w:rPr>
              <w:t>动态相对定位精度</w:t>
            </w:r>
          </w:p>
        </w:tc>
        <w:tc>
          <w:tcPr>
            <w:tcW w:w="5040" w:type="dxa"/>
          </w:tcPr>
          <w:p w14:paraId="4D9A9CEC">
            <w:pPr>
              <w:jc w:val="center"/>
              <w:rPr>
                <w:rFonts w:ascii="Times New Roman" w:hAnsi="Times New Roman" w:cs="Times New Roman"/>
                <w:kern w:val="0"/>
                <w:szCs w:val="21"/>
              </w:rPr>
            </w:pPr>
            <w:r>
              <w:rPr>
                <w:rFonts w:ascii="Times New Roman" w:hAnsi="Times New Roman" w:cs="Times New Roman"/>
                <w:kern w:val="0"/>
                <w:szCs w:val="21"/>
              </w:rPr>
              <w:t>平面：8mm+1ppm</w:t>
            </w:r>
          </w:p>
          <w:p w14:paraId="26E89E73">
            <w:pPr>
              <w:jc w:val="center"/>
              <w:rPr>
                <w:rFonts w:ascii="Times New Roman" w:hAnsi="Times New Roman" w:cs="Times New Roman"/>
                <w:kern w:val="0"/>
                <w:szCs w:val="21"/>
              </w:rPr>
            </w:pPr>
            <w:r>
              <w:rPr>
                <w:rFonts w:ascii="Times New Roman" w:hAnsi="Times New Roman" w:cs="Times New Roman"/>
                <w:kern w:val="0"/>
                <w:szCs w:val="21"/>
              </w:rPr>
              <w:t>垂直：</w:t>
            </w:r>
            <w:r>
              <w:rPr>
                <w:rFonts w:hint="eastAsia" w:ascii="Times New Roman" w:hAnsi="Times New Roman" w:cs="Times New Roman"/>
                <w:kern w:val="0"/>
                <w:szCs w:val="21"/>
              </w:rPr>
              <w:t>1</w:t>
            </w:r>
            <w:r>
              <w:rPr>
                <w:rFonts w:ascii="Times New Roman" w:hAnsi="Times New Roman" w:cs="Times New Roman"/>
                <w:kern w:val="0"/>
                <w:szCs w:val="21"/>
              </w:rPr>
              <w:t>5mm+1ppm</w:t>
            </w:r>
          </w:p>
        </w:tc>
      </w:tr>
      <w:tr w14:paraId="57E08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7EAF84E9">
            <w:pPr>
              <w:jc w:val="center"/>
              <w:rPr>
                <w:rFonts w:ascii="Times New Roman" w:hAnsi="Times New Roman" w:cs="Times New Roman"/>
                <w:kern w:val="0"/>
                <w:szCs w:val="21"/>
              </w:rPr>
            </w:pPr>
            <w:r>
              <w:rPr>
                <w:rFonts w:ascii="Times New Roman" w:hAnsi="Times New Roman" w:cs="Times New Roman"/>
                <w:kern w:val="0"/>
                <w:szCs w:val="21"/>
              </w:rPr>
              <w:t>6</w:t>
            </w:r>
          </w:p>
        </w:tc>
        <w:tc>
          <w:tcPr>
            <w:tcW w:w="2552" w:type="dxa"/>
          </w:tcPr>
          <w:p w14:paraId="1D85F8B9">
            <w:pPr>
              <w:jc w:val="left"/>
              <w:rPr>
                <w:rFonts w:ascii="Times New Roman" w:hAnsi="Times New Roman" w:cs="Times New Roman"/>
                <w:kern w:val="0"/>
                <w:szCs w:val="21"/>
              </w:rPr>
            </w:pPr>
            <w:r>
              <w:rPr>
                <w:rFonts w:ascii="Times New Roman" w:hAnsi="Times New Roman" w:cs="Times New Roman"/>
                <w:kern w:val="0"/>
                <w:szCs w:val="21"/>
              </w:rPr>
              <w:t>存储</w:t>
            </w:r>
          </w:p>
        </w:tc>
        <w:tc>
          <w:tcPr>
            <w:tcW w:w="5040" w:type="dxa"/>
          </w:tcPr>
          <w:p w14:paraId="30AA0B28">
            <w:pPr>
              <w:jc w:val="center"/>
              <w:rPr>
                <w:rFonts w:ascii="Times New Roman" w:hAnsi="Times New Roman" w:cs="Times New Roman"/>
                <w:kern w:val="0"/>
                <w:szCs w:val="21"/>
              </w:rPr>
            </w:pPr>
            <w:r>
              <w:rPr>
                <w:rFonts w:ascii="Times New Roman" w:hAnsi="Times New Roman" w:cs="Times New Roman"/>
                <w:kern w:val="0"/>
                <w:szCs w:val="21"/>
              </w:rPr>
              <w:t>容量不小于1天（</w:t>
            </w:r>
            <w:r>
              <w:rPr>
                <w:rFonts w:hint="eastAsia" w:ascii="Times New Roman" w:hAnsi="Times New Roman" w:cs="Times New Roman"/>
                <w:kern w:val="0"/>
                <w:szCs w:val="21"/>
              </w:rPr>
              <w:t>1</w:t>
            </w:r>
            <w:r>
              <w:rPr>
                <w:rFonts w:ascii="Times New Roman" w:hAnsi="Times New Roman" w:cs="Times New Roman"/>
                <w:kern w:val="0"/>
                <w:szCs w:val="21"/>
              </w:rPr>
              <w:t>Hz采样）；</w:t>
            </w:r>
          </w:p>
          <w:p w14:paraId="639D74B4">
            <w:pPr>
              <w:jc w:val="center"/>
              <w:rPr>
                <w:rFonts w:ascii="Times New Roman" w:hAnsi="Times New Roman" w:cs="Times New Roman"/>
                <w:kern w:val="0"/>
                <w:szCs w:val="21"/>
              </w:rPr>
            </w:pPr>
            <w:r>
              <w:rPr>
                <w:rFonts w:ascii="Times New Roman" w:hAnsi="Times New Roman" w:cs="Times New Roman"/>
                <w:kern w:val="0"/>
                <w:szCs w:val="21"/>
              </w:rPr>
              <w:t>支持Binary、RINEX、BINEX存储格式</w:t>
            </w:r>
          </w:p>
        </w:tc>
      </w:tr>
      <w:tr w14:paraId="4011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671E0F34">
            <w:pPr>
              <w:jc w:val="center"/>
              <w:rPr>
                <w:rFonts w:ascii="Times New Roman" w:hAnsi="Times New Roman" w:cs="Times New Roman"/>
                <w:kern w:val="0"/>
                <w:szCs w:val="21"/>
              </w:rPr>
            </w:pPr>
            <w:r>
              <w:rPr>
                <w:rFonts w:ascii="Times New Roman" w:hAnsi="Times New Roman" w:cs="Times New Roman"/>
                <w:kern w:val="0"/>
                <w:szCs w:val="21"/>
              </w:rPr>
              <w:t>7</w:t>
            </w:r>
          </w:p>
        </w:tc>
        <w:tc>
          <w:tcPr>
            <w:tcW w:w="2552" w:type="dxa"/>
          </w:tcPr>
          <w:p w14:paraId="2169D8A9">
            <w:pPr>
              <w:jc w:val="left"/>
              <w:rPr>
                <w:rFonts w:ascii="Times New Roman" w:hAnsi="Times New Roman" w:cs="Times New Roman"/>
                <w:kern w:val="0"/>
                <w:szCs w:val="21"/>
              </w:rPr>
            </w:pPr>
            <w:r>
              <w:rPr>
                <w:rFonts w:ascii="Times New Roman" w:hAnsi="Times New Roman" w:cs="Times New Roman"/>
                <w:kern w:val="0"/>
                <w:szCs w:val="21"/>
              </w:rPr>
              <w:t>数据更新频率</w:t>
            </w:r>
          </w:p>
        </w:tc>
        <w:tc>
          <w:tcPr>
            <w:tcW w:w="5040" w:type="dxa"/>
          </w:tcPr>
          <w:p w14:paraId="7CACA351">
            <w:pPr>
              <w:jc w:val="center"/>
              <w:rPr>
                <w:rFonts w:ascii="Times New Roman" w:hAnsi="Times New Roman" w:cs="Times New Roman"/>
                <w:kern w:val="0"/>
                <w:szCs w:val="21"/>
              </w:rPr>
            </w:pPr>
            <w:r>
              <w:rPr>
                <w:rFonts w:ascii="Times New Roman" w:hAnsi="Times New Roman" w:cs="Times New Roman"/>
                <w:kern w:val="0"/>
                <w:szCs w:val="21"/>
              </w:rPr>
              <w:t>支持1Hz、5Hz、10Hz、20Hz、50Hz</w:t>
            </w:r>
          </w:p>
        </w:tc>
      </w:tr>
      <w:tr w14:paraId="33A8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14:paraId="3D4C8F5A">
            <w:pPr>
              <w:jc w:val="center"/>
              <w:rPr>
                <w:rFonts w:ascii="Times New Roman" w:hAnsi="Times New Roman" w:cs="Times New Roman"/>
                <w:kern w:val="0"/>
                <w:szCs w:val="21"/>
              </w:rPr>
            </w:pPr>
            <w:r>
              <w:rPr>
                <w:rFonts w:ascii="Times New Roman" w:hAnsi="Times New Roman" w:cs="Times New Roman"/>
                <w:kern w:val="0"/>
                <w:szCs w:val="21"/>
              </w:rPr>
              <w:t>8</w:t>
            </w:r>
          </w:p>
        </w:tc>
        <w:tc>
          <w:tcPr>
            <w:tcW w:w="2552" w:type="dxa"/>
          </w:tcPr>
          <w:p w14:paraId="7621FB89">
            <w:pPr>
              <w:jc w:val="left"/>
              <w:rPr>
                <w:rFonts w:ascii="Times New Roman" w:hAnsi="Times New Roman" w:cs="Times New Roman"/>
                <w:kern w:val="0"/>
                <w:szCs w:val="21"/>
              </w:rPr>
            </w:pPr>
            <w:r>
              <w:rPr>
                <w:rFonts w:ascii="Times New Roman" w:hAnsi="Times New Roman" w:cs="Times New Roman"/>
                <w:kern w:val="0"/>
                <w:szCs w:val="21"/>
              </w:rPr>
              <w:t>功耗</w:t>
            </w:r>
          </w:p>
        </w:tc>
        <w:tc>
          <w:tcPr>
            <w:tcW w:w="5040" w:type="dxa"/>
          </w:tcPr>
          <w:p w14:paraId="6C45181C">
            <w:pPr>
              <w:jc w:val="center"/>
              <w:rPr>
                <w:rFonts w:ascii="Times New Roman" w:hAnsi="Times New Roman" w:cs="Times New Roman"/>
                <w:kern w:val="0"/>
                <w:szCs w:val="21"/>
              </w:rPr>
            </w:pPr>
            <w:r>
              <w:rPr>
                <w:rFonts w:ascii="Times New Roman" w:hAnsi="Times New Roman" w:cs="Times New Roman"/>
                <w:kern w:val="0"/>
                <w:szCs w:val="21"/>
              </w:rPr>
              <w:t>不大于5W</w:t>
            </w:r>
          </w:p>
        </w:tc>
      </w:tr>
      <w:tr w14:paraId="23B4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8296" w:type="dxa"/>
            <w:gridSpan w:val="3"/>
          </w:tcPr>
          <w:p w14:paraId="274CF949">
            <w:pPr>
              <w:jc w:val="left"/>
              <w:rPr>
                <w:rFonts w:ascii="Times New Roman" w:hAnsi="Times New Roman" w:cs="Times New Roman"/>
                <w:kern w:val="0"/>
                <w:szCs w:val="21"/>
              </w:rPr>
            </w:pPr>
            <w:r>
              <w:rPr>
                <w:rFonts w:ascii="黑体" w:hAnsi="黑体" w:eastAsia="黑体" w:cs="Times New Roman"/>
                <w:kern w:val="0"/>
                <w:sz w:val="18"/>
                <w:szCs w:val="21"/>
              </w:rPr>
              <w:t>注：</w:t>
            </w:r>
            <w:r>
              <w:rPr>
                <w:rFonts w:ascii="Times New Roman" w:hAnsi="Times New Roman" w:cs="Times New Roman"/>
                <w:kern w:val="0"/>
                <w:sz w:val="18"/>
                <w:szCs w:val="21"/>
              </w:rPr>
              <w:t>D为基线长度，单位为KM。</w:t>
            </w:r>
          </w:p>
        </w:tc>
      </w:tr>
    </w:tbl>
    <w:p w14:paraId="50AEF6D6">
      <w:pPr>
        <w:spacing w:line="360" w:lineRule="auto"/>
        <w:rPr>
          <w:rFonts w:cs="Times New Roman" w:asciiTheme="majorEastAsia" w:hAnsiTheme="majorEastAsia" w:eastAsiaTheme="majorEastAsia"/>
          <w:kern w:val="0"/>
          <w:szCs w:val="21"/>
        </w:rPr>
      </w:pPr>
    </w:p>
    <w:p w14:paraId="118758FB">
      <w:pPr>
        <w:spacing w:line="360" w:lineRule="auto"/>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5.2</w:t>
      </w:r>
      <w:r>
        <w:rPr>
          <w:rFonts w:cs="Times New Roman" w:asciiTheme="majorEastAsia" w:hAnsiTheme="majorEastAsia" w:eastAsiaTheme="majorEastAsia"/>
          <w:kern w:val="0"/>
          <w:szCs w:val="21"/>
        </w:rPr>
        <w:t xml:space="preserve">.3  </w:t>
      </w:r>
      <w:r>
        <w:rPr>
          <w:rFonts w:hint="eastAsia" w:cs="Times New Roman" w:asciiTheme="majorEastAsia" w:hAnsiTheme="majorEastAsia" w:eastAsiaTheme="majorEastAsia"/>
          <w:kern w:val="0"/>
          <w:szCs w:val="21"/>
        </w:rPr>
        <w:t>定位天线应符合表3的技术要求。</w:t>
      </w:r>
    </w:p>
    <w:p w14:paraId="2FFEF7EA">
      <w:pPr>
        <w:jc w:val="center"/>
        <w:rPr>
          <w:rFonts w:ascii="Times New Roman" w:hAnsi="Times New Roman" w:eastAsia="黑体" w:cs="Times New Roman"/>
          <w:kern w:val="0"/>
          <w:szCs w:val="21"/>
        </w:rPr>
      </w:pPr>
      <w:r>
        <w:rPr>
          <w:rFonts w:ascii="Times New Roman" w:hAnsi="Times New Roman" w:eastAsia="黑体" w:cs="Times New Roman"/>
          <w:kern w:val="0"/>
          <w:szCs w:val="21"/>
        </w:rPr>
        <w:t>表</w:t>
      </w:r>
      <w:r>
        <w:rPr>
          <w:rFonts w:hint="eastAsia" w:ascii="Times New Roman" w:hAnsi="Times New Roman" w:eastAsia="黑体" w:cs="Times New Roman"/>
          <w:kern w:val="0"/>
          <w:szCs w:val="21"/>
        </w:rPr>
        <w:t>3</w:t>
      </w:r>
      <w:r>
        <w:rPr>
          <w:rFonts w:ascii="Times New Roman" w:hAnsi="Times New Roman" w:eastAsia="黑体" w:cs="Times New Roman"/>
          <w:kern w:val="0"/>
          <w:szCs w:val="21"/>
        </w:rPr>
        <w:t xml:space="preserve"> </w:t>
      </w:r>
      <w:r>
        <w:rPr>
          <w:rFonts w:hint="eastAsia" w:ascii="Times New Roman" w:hAnsi="Times New Roman" w:eastAsia="黑体" w:cs="Times New Roman"/>
          <w:kern w:val="0"/>
          <w:szCs w:val="21"/>
        </w:rPr>
        <w:t xml:space="preserve"> </w:t>
      </w:r>
      <w:r>
        <w:rPr>
          <w:rFonts w:ascii="Times New Roman" w:hAnsi="Times New Roman" w:eastAsia="黑体" w:cs="Times New Roman"/>
          <w:kern w:val="0"/>
          <w:szCs w:val="21"/>
        </w:rPr>
        <w:t>天线的技术要求</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180"/>
        <w:gridCol w:w="5202"/>
      </w:tblGrid>
      <w:tr w14:paraId="32BF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0FF95106">
            <w:pPr>
              <w:jc w:val="center"/>
              <w:rPr>
                <w:rFonts w:ascii="Times New Roman" w:hAnsi="Times New Roman" w:cs="Times New Roman"/>
                <w:kern w:val="0"/>
                <w:szCs w:val="21"/>
              </w:rPr>
            </w:pPr>
            <w:r>
              <w:rPr>
                <w:rFonts w:ascii="Times New Roman" w:hAnsi="Times New Roman" w:cs="Times New Roman"/>
                <w:kern w:val="0"/>
                <w:szCs w:val="21"/>
              </w:rPr>
              <w:t>序号</w:t>
            </w:r>
          </w:p>
        </w:tc>
        <w:tc>
          <w:tcPr>
            <w:tcW w:w="2180" w:type="dxa"/>
          </w:tcPr>
          <w:p w14:paraId="002164AC">
            <w:pPr>
              <w:jc w:val="center"/>
              <w:rPr>
                <w:rFonts w:ascii="Times New Roman" w:hAnsi="Times New Roman" w:cs="Times New Roman"/>
                <w:kern w:val="0"/>
                <w:szCs w:val="21"/>
              </w:rPr>
            </w:pPr>
            <w:r>
              <w:rPr>
                <w:rFonts w:ascii="Times New Roman" w:hAnsi="Times New Roman" w:cs="Times New Roman"/>
                <w:kern w:val="0"/>
                <w:szCs w:val="21"/>
              </w:rPr>
              <w:t>性能指标</w:t>
            </w:r>
          </w:p>
        </w:tc>
        <w:tc>
          <w:tcPr>
            <w:tcW w:w="5202" w:type="dxa"/>
          </w:tcPr>
          <w:p w14:paraId="6AF2B8A9">
            <w:pPr>
              <w:jc w:val="center"/>
              <w:rPr>
                <w:rFonts w:ascii="Times New Roman" w:hAnsi="Times New Roman" w:cs="Times New Roman"/>
                <w:kern w:val="0"/>
                <w:szCs w:val="21"/>
              </w:rPr>
            </w:pPr>
            <w:r>
              <w:rPr>
                <w:rFonts w:ascii="Times New Roman" w:hAnsi="Times New Roman" w:cs="Times New Roman"/>
                <w:kern w:val="0"/>
                <w:szCs w:val="21"/>
              </w:rPr>
              <w:t>技术要求</w:t>
            </w:r>
          </w:p>
        </w:tc>
      </w:tr>
      <w:tr w14:paraId="40B49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6A6A2839">
            <w:pPr>
              <w:jc w:val="center"/>
              <w:rPr>
                <w:rFonts w:ascii="Times New Roman" w:hAnsi="Times New Roman" w:cs="Times New Roman"/>
                <w:kern w:val="0"/>
                <w:szCs w:val="21"/>
              </w:rPr>
            </w:pPr>
            <w:r>
              <w:rPr>
                <w:rFonts w:ascii="Times New Roman" w:hAnsi="Times New Roman" w:cs="Times New Roman"/>
                <w:kern w:val="0"/>
                <w:szCs w:val="21"/>
              </w:rPr>
              <w:t>1</w:t>
            </w:r>
          </w:p>
        </w:tc>
        <w:tc>
          <w:tcPr>
            <w:tcW w:w="2180" w:type="dxa"/>
          </w:tcPr>
          <w:p w14:paraId="3BAEF7AC">
            <w:pPr>
              <w:jc w:val="center"/>
              <w:rPr>
                <w:rFonts w:ascii="Times New Roman" w:hAnsi="Times New Roman" w:cs="Times New Roman"/>
                <w:kern w:val="0"/>
                <w:szCs w:val="21"/>
              </w:rPr>
            </w:pPr>
            <w:r>
              <w:rPr>
                <w:rFonts w:ascii="Times New Roman" w:hAnsi="Times New Roman" w:cs="Times New Roman"/>
                <w:kern w:val="0"/>
                <w:szCs w:val="21"/>
              </w:rPr>
              <w:t>工作频点</w:t>
            </w:r>
          </w:p>
        </w:tc>
        <w:tc>
          <w:tcPr>
            <w:tcW w:w="5202" w:type="dxa"/>
          </w:tcPr>
          <w:p w14:paraId="7043A1EE">
            <w:pPr>
              <w:jc w:val="center"/>
              <w:rPr>
                <w:rFonts w:ascii="Times New Roman" w:hAnsi="Times New Roman" w:cs="Times New Roman"/>
                <w:kern w:val="0"/>
                <w:szCs w:val="21"/>
              </w:rPr>
            </w:pPr>
            <w:r>
              <w:rPr>
                <w:rFonts w:ascii="Times New Roman" w:hAnsi="Times New Roman" w:cs="Times New Roman"/>
                <w:kern w:val="0"/>
                <w:szCs w:val="21"/>
              </w:rPr>
              <w:t>应能支持BDS（B1/B2/B3）频点，</w:t>
            </w:r>
            <w:r>
              <w:rPr>
                <w:rFonts w:hint="eastAsia" w:ascii="Times New Roman" w:hAnsi="Times New Roman" w:cs="Times New Roman"/>
                <w:kern w:val="0"/>
                <w:szCs w:val="21"/>
              </w:rPr>
              <w:t>可</w:t>
            </w:r>
            <w:r>
              <w:rPr>
                <w:rFonts w:ascii="Times New Roman" w:hAnsi="Times New Roman" w:cs="Times New Roman"/>
                <w:kern w:val="0"/>
                <w:szCs w:val="21"/>
              </w:rPr>
              <w:t>兼顾GPS（L1/L2/L5）</w:t>
            </w:r>
            <w:r>
              <w:rPr>
                <w:rFonts w:hint="eastAsia" w:ascii="Times New Roman" w:hAnsi="Times New Roman" w:cs="Times New Roman"/>
                <w:kern w:val="0"/>
                <w:szCs w:val="21"/>
              </w:rPr>
              <w:t>、</w:t>
            </w:r>
            <w:r>
              <w:rPr>
                <w:rFonts w:ascii="Times New Roman" w:hAnsi="Times New Roman" w:cs="Times New Roman"/>
                <w:kern w:val="0"/>
                <w:szCs w:val="21"/>
              </w:rPr>
              <w:t>GLONASS（L1/L2）、</w:t>
            </w:r>
            <w:r>
              <w:rPr>
                <w:rFonts w:hint="eastAsia" w:ascii="Times New Roman" w:hAnsi="Times New Roman" w:cs="Times New Roman"/>
                <w:kern w:val="0"/>
                <w:szCs w:val="21"/>
              </w:rPr>
              <w:t>Beidou</w:t>
            </w:r>
            <w:r>
              <w:rPr>
                <w:rFonts w:ascii="Times New Roman" w:hAnsi="Times New Roman" w:cs="Times New Roman"/>
                <w:kern w:val="0"/>
                <w:szCs w:val="21"/>
              </w:rPr>
              <w:t>（</w:t>
            </w:r>
          </w:p>
          <w:p w14:paraId="5B767221">
            <w:pPr>
              <w:jc w:val="center"/>
              <w:rPr>
                <w:rFonts w:ascii="Times New Roman" w:hAnsi="Times New Roman" w:cs="Times New Roman"/>
                <w:kern w:val="0"/>
                <w:szCs w:val="21"/>
              </w:rPr>
            </w:pPr>
            <w:r>
              <w:rPr>
                <w:rFonts w:ascii="Times New Roman" w:hAnsi="Times New Roman" w:cs="Times New Roman"/>
                <w:kern w:val="0"/>
                <w:szCs w:val="21"/>
              </w:rPr>
              <w:t>B1/B2）、GALILEO（E1/E5）、NavIC（</w:t>
            </w:r>
            <w:r>
              <w:rPr>
                <w:rFonts w:hint="eastAsia" w:ascii="Times New Roman" w:hAnsi="Times New Roman" w:cs="Times New Roman"/>
                <w:kern w:val="0"/>
                <w:szCs w:val="21"/>
              </w:rPr>
              <w:t>L</w:t>
            </w:r>
            <w:r>
              <w:rPr>
                <w:rFonts w:ascii="Times New Roman" w:hAnsi="Times New Roman" w:cs="Times New Roman"/>
                <w:kern w:val="0"/>
                <w:szCs w:val="21"/>
              </w:rPr>
              <w:t>5）</w:t>
            </w:r>
            <w:r>
              <w:rPr>
                <w:rFonts w:hint="eastAsia" w:ascii="Times New Roman" w:hAnsi="Times New Roman" w:cs="Times New Roman"/>
                <w:kern w:val="0"/>
                <w:szCs w:val="21"/>
              </w:rPr>
              <w:t>或SBAS（L</w:t>
            </w:r>
            <w:r>
              <w:rPr>
                <w:rFonts w:ascii="Times New Roman" w:hAnsi="Times New Roman" w:cs="Times New Roman"/>
                <w:kern w:val="0"/>
                <w:szCs w:val="21"/>
              </w:rPr>
              <w:t>1</w:t>
            </w:r>
            <w:r>
              <w:rPr>
                <w:rFonts w:hint="eastAsia" w:ascii="Times New Roman" w:hAnsi="Times New Roman" w:cs="Times New Roman"/>
                <w:kern w:val="0"/>
                <w:szCs w:val="21"/>
              </w:rPr>
              <w:t>/</w:t>
            </w:r>
            <w:r>
              <w:rPr>
                <w:rFonts w:ascii="Times New Roman" w:hAnsi="Times New Roman" w:cs="Times New Roman"/>
                <w:kern w:val="0"/>
                <w:szCs w:val="21"/>
              </w:rPr>
              <w:t>L5</w:t>
            </w:r>
            <w:r>
              <w:rPr>
                <w:rFonts w:hint="eastAsia" w:ascii="Times New Roman" w:hAnsi="Times New Roman" w:cs="Times New Roman"/>
                <w:kern w:val="0"/>
                <w:szCs w:val="21"/>
              </w:rPr>
              <w:t>）</w:t>
            </w:r>
            <w:r>
              <w:rPr>
                <w:rFonts w:ascii="Times New Roman" w:hAnsi="Times New Roman" w:cs="Times New Roman"/>
                <w:kern w:val="0"/>
                <w:szCs w:val="21"/>
              </w:rPr>
              <w:t>中的一种系统的频点。</w:t>
            </w:r>
          </w:p>
        </w:tc>
      </w:tr>
      <w:tr w14:paraId="6707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1CA9F23D">
            <w:pPr>
              <w:jc w:val="center"/>
              <w:rPr>
                <w:rFonts w:ascii="Times New Roman" w:hAnsi="Times New Roman" w:cs="Times New Roman"/>
                <w:kern w:val="0"/>
                <w:szCs w:val="21"/>
              </w:rPr>
            </w:pPr>
            <w:r>
              <w:rPr>
                <w:rFonts w:ascii="Times New Roman" w:hAnsi="Times New Roman" w:cs="Times New Roman"/>
                <w:kern w:val="0"/>
                <w:szCs w:val="21"/>
              </w:rPr>
              <w:t>2</w:t>
            </w:r>
          </w:p>
        </w:tc>
        <w:tc>
          <w:tcPr>
            <w:tcW w:w="2180" w:type="dxa"/>
          </w:tcPr>
          <w:p w14:paraId="1FFFDE7D">
            <w:pPr>
              <w:jc w:val="center"/>
              <w:rPr>
                <w:rFonts w:ascii="Times New Roman" w:hAnsi="Times New Roman" w:cs="Times New Roman"/>
                <w:kern w:val="0"/>
                <w:szCs w:val="21"/>
              </w:rPr>
            </w:pPr>
            <w:r>
              <w:rPr>
                <w:rFonts w:ascii="Times New Roman" w:hAnsi="Times New Roman" w:cs="Times New Roman"/>
                <w:kern w:val="0"/>
                <w:szCs w:val="21"/>
              </w:rPr>
              <w:t>特性阻抗</w:t>
            </w:r>
          </w:p>
        </w:tc>
        <w:tc>
          <w:tcPr>
            <w:tcW w:w="5202" w:type="dxa"/>
          </w:tcPr>
          <w:p w14:paraId="39749204">
            <w:pPr>
              <w:jc w:val="center"/>
              <w:rPr>
                <w:rFonts w:ascii="Times New Roman" w:hAnsi="Times New Roman" w:cs="Times New Roman"/>
                <w:kern w:val="0"/>
                <w:szCs w:val="21"/>
              </w:rPr>
            </w:pPr>
            <w:r>
              <w:rPr>
                <w:rFonts w:hint="eastAsia" w:ascii="Times New Roman" w:hAnsi="Times New Roman" w:cs="Times New Roman"/>
                <w:kern w:val="0"/>
                <w:szCs w:val="21"/>
              </w:rPr>
              <w:t xml:space="preserve">50Q </w:t>
            </w:r>
          </w:p>
        </w:tc>
      </w:tr>
      <w:tr w14:paraId="08EC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5DE2A418">
            <w:pPr>
              <w:jc w:val="center"/>
              <w:rPr>
                <w:rFonts w:ascii="Times New Roman" w:hAnsi="Times New Roman" w:cs="Times New Roman"/>
                <w:kern w:val="0"/>
                <w:szCs w:val="21"/>
              </w:rPr>
            </w:pPr>
            <w:r>
              <w:rPr>
                <w:rFonts w:hint="eastAsia" w:ascii="Times New Roman" w:hAnsi="Times New Roman" w:cs="Times New Roman"/>
                <w:kern w:val="0"/>
                <w:szCs w:val="21"/>
              </w:rPr>
              <w:t>3</w:t>
            </w:r>
          </w:p>
        </w:tc>
        <w:tc>
          <w:tcPr>
            <w:tcW w:w="2180" w:type="dxa"/>
          </w:tcPr>
          <w:p w14:paraId="1FB935E0">
            <w:pPr>
              <w:jc w:val="center"/>
              <w:rPr>
                <w:rFonts w:ascii="Times New Roman" w:hAnsi="Times New Roman" w:cs="Times New Roman"/>
                <w:kern w:val="0"/>
                <w:szCs w:val="21"/>
              </w:rPr>
            </w:pPr>
            <w:r>
              <w:rPr>
                <w:rFonts w:hint="eastAsia" w:ascii="Times New Roman" w:hAnsi="Times New Roman" w:cs="Times New Roman"/>
                <w:kern w:val="0"/>
                <w:szCs w:val="21"/>
              </w:rPr>
              <w:t>极化方式</w:t>
            </w:r>
          </w:p>
        </w:tc>
        <w:tc>
          <w:tcPr>
            <w:tcW w:w="5202" w:type="dxa"/>
          </w:tcPr>
          <w:p w14:paraId="39A1B0B3">
            <w:pPr>
              <w:jc w:val="center"/>
              <w:rPr>
                <w:rFonts w:ascii="Times New Roman" w:hAnsi="Times New Roman" w:cs="Times New Roman"/>
                <w:kern w:val="0"/>
                <w:szCs w:val="21"/>
              </w:rPr>
            </w:pPr>
            <w:r>
              <w:rPr>
                <w:rFonts w:hint="eastAsia" w:ascii="Times New Roman" w:hAnsi="Times New Roman" w:cs="Times New Roman"/>
                <w:kern w:val="0"/>
                <w:szCs w:val="21"/>
              </w:rPr>
              <w:t>右旋圆极化</w:t>
            </w:r>
          </w:p>
        </w:tc>
      </w:tr>
      <w:tr w14:paraId="01B5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4B84D646">
            <w:pPr>
              <w:jc w:val="center"/>
              <w:rPr>
                <w:rFonts w:ascii="Times New Roman" w:hAnsi="Times New Roman" w:cs="Times New Roman"/>
                <w:kern w:val="0"/>
                <w:szCs w:val="21"/>
              </w:rPr>
            </w:pPr>
            <w:r>
              <w:rPr>
                <w:rFonts w:hint="eastAsia" w:ascii="Times New Roman" w:hAnsi="Times New Roman" w:cs="Times New Roman"/>
                <w:kern w:val="0"/>
                <w:szCs w:val="21"/>
              </w:rPr>
              <w:t>4</w:t>
            </w:r>
          </w:p>
        </w:tc>
        <w:tc>
          <w:tcPr>
            <w:tcW w:w="2180" w:type="dxa"/>
          </w:tcPr>
          <w:p w14:paraId="22C9EBC9">
            <w:pPr>
              <w:jc w:val="center"/>
              <w:rPr>
                <w:rFonts w:ascii="Times New Roman" w:hAnsi="Times New Roman" w:cs="Times New Roman"/>
                <w:kern w:val="0"/>
                <w:szCs w:val="21"/>
              </w:rPr>
            </w:pPr>
            <w:r>
              <w:rPr>
                <w:rFonts w:hint="eastAsia" w:ascii="Times New Roman" w:hAnsi="Times New Roman" w:cs="Times New Roman"/>
                <w:kern w:val="0"/>
                <w:szCs w:val="21"/>
              </w:rPr>
              <w:t>相位中心误差</w:t>
            </w:r>
          </w:p>
        </w:tc>
        <w:tc>
          <w:tcPr>
            <w:tcW w:w="5202" w:type="dxa"/>
          </w:tcPr>
          <w:p w14:paraId="276E610D">
            <w:pPr>
              <w:jc w:val="center"/>
              <w:rPr>
                <w:rFonts w:ascii="Times New Roman" w:hAnsi="Times New Roman" w:cs="Times New Roman"/>
                <w:kern w:val="0"/>
                <w:szCs w:val="21"/>
              </w:rPr>
            </w:pPr>
            <w:r>
              <w:rPr>
                <w:rFonts w:hint="eastAsia" w:ascii="Times New Roman" w:hAnsi="Times New Roman" w:cs="Times New Roman"/>
                <w:kern w:val="0"/>
                <w:szCs w:val="21"/>
              </w:rPr>
              <w:t>土1mm</w:t>
            </w:r>
          </w:p>
        </w:tc>
      </w:tr>
      <w:tr w14:paraId="625E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53A30665">
            <w:pPr>
              <w:jc w:val="center"/>
              <w:rPr>
                <w:rFonts w:ascii="Times New Roman" w:hAnsi="Times New Roman" w:cs="Times New Roman"/>
                <w:kern w:val="0"/>
                <w:szCs w:val="21"/>
              </w:rPr>
            </w:pPr>
            <w:r>
              <w:rPr>
                <w:rFonts w:ascii="Times New Roman" w:hAnsi="Times New Roman" w:cs="Times New Roman"/>
                <w:kern w:val="0"/>
                <w:szCs w:val="21"/>
              </w:rPr>
              <w:t>5</w:t>
            </w:r>
          </w:p>
        </w:tc>
        <w:tc>
          <w:tcPr>
            <w:tcW w:w="2180" w:type="dxa"/>
          </w:tcPr>
          <w:p w14:paraId="3D9FC515">
            <w:pPr>
              <w:jc w:val="center"/>
              <w:rPr>
                <w:rFonts w:ascii="Times New Roman" w:hAnsi="Times New Roman" w:cs="Times New Roman"/>
                <w:kern w:val="0"/>
                <w:szCs w:val="21"/>
              </w:rPr>
            </w:pPr>
            <w:r>
              <w:rPr>
                <w:rFonts w:hint="eastAsia" w:ascii="Times New Roman" w:hAnsi="Times New Roman" w:cs="Times New Roman"/>
                <w:kern w:val="0"/>
                <w:szCs w:val="21"/>
              </w:rPr>
              <w:t>最高增益</w:t>
            </w:r>
          </w:p>
        </w:tc>
        <w:tc>
          <w:tcPr>
            <w:tcW w:w="5202" w:type="dxa"/>
          </w:tcPr>
          <w:p w14:paraId="609BC381">
            <w:pPr>
              <w:jc w:val="center"/>
              <w:rPr>
                <w:rFonts w:ascii="Times New Roman" w:hAnsi="Times New Roman" w:cs="Times New Roman"/>
                <w:kern w:val="0"/>
                <w:szCs w:val="21"/>
              </w:rPr>
            </w:pPr>
            <w:r>
              <w:rPr>
                <w:rFonts w:hint="eastAsia" w:ascii="Times New Roman" w:hAnsi="Times New Roman" w:cs="Times New Roman"/>
                <w:kern w:val="0"/>
                <w:szCs w:val="21"/>
              </w:rPr>
              <w:t>6dBi</w:t>
            </w:r>
          </w:p>
        </w:tc>
      </w:tr>
      <w:tr w14:paraId="733B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7C935FB3">
            <w:pPr>
              <w:jc w:val="center"/>
              <w:rPr>
                <w:rFonts w:ascii="Times New Roman" w:hAnsi="Times New Roman" w:cs="Times New Roman"/>
                <w:kern w:val="0"/>
                <w:szCs w:val="21"/>
              </w:rPr>
            </w:pPr>
            <w:r>
              <w:rPr>
                <w:rFonts w:hint="eastAsia" w:ascii="Times New Roman" w:hAnsi="Times New Roman" w:cs="Times New Roman"/>
                <w:kern w:val="0"/>
                <w:szCs w:val="21"/>
              </w:rPr>
              <w:t>6</w:t>
            </w:r>
          </w:p>
        </w:tc>
        <w:tc>
          <w:tcPr>
            <w:tcW w:w="2180" w:type="dxa"/>
          </w:tcPr>
          <w:p w14:paraId="2233F2F3">
            <w:pPr>
              <w:jc w:val="center"/>
              <w:rPr>
                <w:rFonts w:ascii="Times New Roman" w:hAnsi="Times New Roman" w:cs="Times New Roman"/>
                <w:kern w:val="0"/>
                <w:szCs w:val="21"/>
              </w:rPr>
            </w:pPr>
            <w:r>
              <w:rPr>
                <w:rFonts w:hint="eastAsia" w:ascii="Times New Roman" w:hAnsi="Times New Roman" w:cs="Times New Roman"/>
                <w:kern w:val="0"/>
                <w:szCs w:val="21"/>
              </w:rPr>
              <w:t>天线轴比</w:t>
            </w:r>
          </w:p>
        </w:tc>
        <w:tc>
          <w:tcPr>
            <w:tcW w:w="5202" w:type="dxa"/>
          </w:tcPr>
          <w:p w14:paraId="3071E246">
            <w:pPr>
              <w:jc w:val="center"/>
              <w:rPr>
                <w:rFonts w:ascii="Times New Roman" w:hAnsi="Times New Roman" w:cs="Times New Roman"/>
                <w:kern w:val="0"/>
                <w:szCs w:val="21"/>
              </w:rPr>
            </w:pPr>
            <w:r>
              <w:rPr>
                <w:rFonts w:hint="eastAsia" w:ascii="Times New Roman" w:hAnsi="Times New Roman" w:cs="Times New Roman"/>
                <w:kern w:val="0"/>
                <w:szCs w:val="21"/>
              </w:rPr>
              <w:t>≤3dB@轴向</w:t>
            </w:r>
          </w:p>
        </w:tc>
      </w:tr>
      <w:tr w14:paraId="6DA0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6A3ECFBE">
            <w:pPr>
              <w:jc w:val="center"/>
              <w:rPr>
                <w:rFonts w:ascii="Times New Roman" w:hAnsi="Times New Roman" w:cs="Times New Roman"/>
                <w:kern w:val="0"/>
                <w:szCs w:val="21"/>
              </w:rPr>
            </w:pPr>
            <w:r>
              <w:rPr>
                <w:rFonts w:ascii="Times New Roman" w:hAnsi="Times New Roman" w:cs="Times New Roman"/>
                <w:kern w:val="0"/>
                <w:szCs w:val="21"/>
              </w:rPr>
              <w:t>7</w:t>
            </w:r>
          </w:p>
        </w:tc>
        <w:tc>
          <w:tcPr>
            <w:tcW w:w="2180" w:type="dxa"/>
          </w:tcPr>
          <w:p w14:paraId="56EA1A84">
            <w:pPr>
              <w:jc w:val="center"/>
              <w:rPr>
                <w:rFonts w:ascii="Times New Roman" w:hAnsi="Times New Roman" w:cs="Times New Roman"/>
                <w:kern w:val="0"/>
                <w:szCs w:val="21"/>
              </w:rPr>
            </w:pPr>
            <w:r>
              <w:rPr>
                <w:rFonts w:hint="eastAsia" w:ascii="Times New Roman" w:hAnsi="Times New Roman" w:cs="Times New Roman"/>
                <w:kern w:val="0"/>
                <w:szCs w:val="21"/>
              </w:rPr>
              <w:t>水平面覆盖角度</w:t>
            </w:r>
          </w:p>
        </w:tc>
        <w:tc>
          <w:tcPr>
            <w:tcW w:w="5202" w:type="dxa"/>
          </w:tcPr>
          <w:p w14:paraId="365125E5">
            <w:pPr>
              <w:jc w:val="center"/>
              <w:rPr>
                <w:rFonts w:ascii="Times New Roman" w:hAnsi="Times New Roman" w:cs="Times New Roman"/>
                <w:kern w:val="0"/>
                <w:szCs w:val="21"/>
              </w:rPr>
            </w:pPr>
            <w:r>
              <w:rPr>
                <w:rFonts w:hint="eastAsia" w:ascii="Times New Roman" w:hAnsi="Times New Roman" w:cs="Times New Roman"/>
                <w:kern w:val="0"/>
                <w:szCs w:val="21"/>
              </w:rPr>
              <w:t>0~360°</w:t>
            </w:r>
          </w:p>
        </w:tc>
      </w:tr>
      <w:tr w14:paraId="2CCD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67FCF368">
            <w:pPr>
              <w:jc w:val="center"/>
              <w:rPr>
                <w:rFonts w:ascii="Times New Roman" w:hAnsi="Times New Roman" w:cs="Times New Roman"/>
                <w:kern w:val="0"/>
                <w:szCs w:val="21"/>
              </w:rPr>
            </w:pPr>
            <w:r>
              <w:rPr>
                <w:rFonts w:ascii="Times New Roman" w:hAnsi="Times New Roman" w:cs="Times New Roman"/>
                <w:kern w:val="0"/>
                <w:szCs w:val="21"/>
              </w:rPr>
              <w:t>8</w:t>
            </w:r>
          </w:p>
        </w:tc>
        <w:tc>
          <w:tcPr>
            <w:tcW w:w="2180" w:type="dxa"/>
          </w:tcPr>
          <w:p w14:paraId="0FF48396">
            <w:pPr>
              <w:jc w:val="center"/>
              <w:rPr>
                <w:rFonts w:ascii="Times New Roman" w:hAnsi="Times New Roman" w:cs="Times New Roman"/>
                <w:kern w:val="0"/>
                <w:szCs w:val="21"/>
              </w:rPr>
            </w:pPr>
            <w:r>
              <w:rPr>
                <w:rFonts w:hint="eastAsia" w:ascii="Times New Roman" w:hAnsi="Times New Roman" w:cs="Times New Roman"/>
                <w:kern w:val="0"/>
                <w:szCs w:val="21"/>
              </w:rPr>
              <w:t>输出驻波</w:t>
            </w:r>
          </w:p>
        </w:tc>
        <w:tc>
          <w:tcPr>
            <w:tcW w:w="5202" w:type="dxa"/>
          </w:tcPr>
          <w:p w14:paraId="3F62D832">
            <w:pPr>
              <w:jc w:val="center"/>
              <w:rPr>
                <w:rFonts w:ascii="Times New Roman" w:hAnsi="Times New Roman" w:cs="Times New Roman"/>
                <w:kern w:val="0"/>
                <w:szCs w:val="21"/>
              </w:rPr>
            </w:pPr>
            <w:r>
              <w:rPr>
                <w:rFonts w:hint="eastAsia" w:ascii="Times New Roman" w:hAnsi="Times New Roman" w:cs="Times New Roman"/>
                <w:kern w:val="0"/>
                <w:szCs w:val="21"/>
              </w:rPr>
              <w:t>≤2. 0</w:t>
            </w:r>
          </w:p>
        </w:tc>
      </w:tr>
      <w:tr w14:paraId="0D5A6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365CDC9F">
            <w:pPr>
              <w:jc w:val="center"/>
              <w:rPr>
                <w:rFonts w:ascii="Times New Roman" w:hAnsi="Times New Roman" w:cs="Times New Roman"/>
                <w:kern w:val="0"/>
                <w:szCs w:val="21"/>
              </w:rPr>
            </w:pPr>
            <w:r>
              <w:rPr>
                <w:rFonts w:hint="eastAsia" w:ascii="Times New Roman" w:hAnsi="Times New Roman" w:cs="Times New Roman"/>
                <w:kern w:val="0"/>
                <w:szCs w:val="21"/>
              </w:rPr>
              <w:t>9</w:t>
            </w:r>
          </w:p>
        </w:tc>
        <w:tc>
          <w:tcPr>
            <w:tcW w:w="2180" w:type="dxa"/>
          </w:tcPr>
          <w:p w14:paraId="0D5E2577">
            <w:pPr>
              <w:jc w:val="center"/>
              <w:rPr>
                <w:rFonts w:ascii="Times New Roman" w:hAnsi="Times New Roman" w:cs="Times New Roman"/>
                <w:kern w:val="0"/>
                <w:szCs w:val="21"/>
              </w:rPr>
            </w:pPr>
            <w:r>
              <w:rPr>
                <w:rFonts w:hint="eastAsia" w:ascii="Times New Roman" w:hAnsi="Times New Roman" w:cs="Times New Roman"/>
                <w:kern w:val="0"/>
                <w:szCs w:val="21"/>
              </w:rPr>
              <w:t>噪声系数</w:t>
            </w:r>
          </w:p>
        </w:tc>
        <w:tc>
          <w:tcPr>
            <w:tcW w:w="5202" w:type="dxa"/>
          </w:tcPr>
          <w:p w14:paraId="0B6A1085">
            <w:pPr>
              <w:jc w:val="center"/>
              <w:rPr>
                <w:rFonts w:ascii="Times New Roman" w:hAnsi="Times New Roman" w:cs="Times New Roman"/>
                <w:kern w:val="0"/>
                <w:szCs w:val="21"/>
              </w:rPr>
            </w:pPr>
            <w:r>
              <w:rPr>
                <w:rFonts w:hint="eastAsia" w:ascii="Times New Roman" w:hAnsi="Times New Roman" w:cs="Times New Roman"/>
                <w:kern w:val="0"/>
                <w:szCs w:val="21"/>
              </w:rPr>
              <w:t>≤1.5dB</w:t>
            </w:r>
          </w:p>
        </w:tc>
      </w:tr>
      <w:tr w14:paraId="30647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48ABC759">
            <w:pPr>
              <w:jc w:val="center"/>
              <w:rPr>
                <w:rFonts w:ascii="Times New Roman" w:hAnsi="Times New Roman" w:cs="Times New Roman"/>
                <w:kern w:val="0"/>
                <w:szCs w:val="21"/>
              </w:rPr>
            </w:pPr>
            <w:r>
              <w:rPr>
                <w:rFonts w:hint="eastAsia" w:ascii="Times New Roman" w:hAnsi="Times New Roman" w:cs="Times New Roman"/>
                <w:kern w:val="0"/>
                <w:szCs w:val="21"/>
              </w:rPr>
              <w:t>1</w:t>
            </w:r>
            <w:r>
              <w:rPr>
                <w:rFonts w:ascii="Times New Roman" w:hAnsi="Times New Roman" w:cs="Times New Roman"/>
                <w:kern w:val="0"/>
                <w:szCs w:val="21"/>
              </w:rPr>
              <w:t>0</w:t>
            </w:r>
          </w:p>
        </w:tc>
        <w:tc>
          <w:tcPr>
            <w:tcW w:w="2180" w:type="dxa"/>
          </w:tcPr>
          <w:p w14:paraId="7BD2AAC6">
            <w:pPr>
              <w:jc w:val="center"/>
              <w:rPr>
                <w:rFonts w:ascii="Times New Roman" w:hAnsi="Times New Roman" w:cs="Times New Roman"/>
                <w:kern w:val="0"/>
                <w:szCs w:val="21"/>
              </w:rPr>
            </w:pPr>
            <w:r>
              <w:rPr>
                <w:rFonts w:hint="eastAsia" w:ascii="Times New Roman" w:hAnsi="Times New Roman" w:cs="Times New Roman"/>
                <w:kern w:val="0"/>
                <w:szCs w:val="21"/>
              </w:rPr>
              <w:t>增益</w:t>
            </w:r>
          </w:p>
        </w:tc>
        <w:tc>
          <w:tcPr>
            <w:tcW w:w="5202" w:type="dxa"/>
          </w:tcPr>
          <w:p w14:paraId="3DF55985">
            <w:pPr>
              <w:jc w:val="center"/>
              <w:rPr>
                <w:rFonts w:ascii="Times New Roman" w:hAnsi="Times New Roman" w:cs="Times New Roman"/>
                <w:kern w:val="0"/>
                <w:szCs w:val="21"/>
              </w:rPr>
            </w:pPr>
            <w:r>
              <w:rPr>
                <w:rFonts w:hint="eastAsia" w:ascii="Times New Roman" w:hAnsi="Times New Roman" w:cs="Times New Roman"/>
                <w:kern w:val="0"/>
                <w:szCs w:val="21"/>
              </w:rPr>
              <w:t>50士2dB</w:t>
            </w:r>
          </w:p>
        </w:tc>
      </w:tr>
      <w:tr w14:paraId="62E0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Pr>
          <w:p w14:paraId="38DC4A42">
            <w:pPr>
              <w:jc w:val="center"/>
              <w:rPr>
                <w:rFonts w:ascii="Times New Roman" w:hAnsi="Times New Roman" w:cs="Times New Roman"/>
                <w:kern w:val="0"/>
                <w:szCs w:val="21"/>
              </w:rPr>
            </w:pPr>
            <w:r>
              <w:rPr>
                <w:rFonts w:ascii="Times New Roman" w:hAnsi="Times New Roman" w:cs="Times New Roman"/>
                <w:kern w:val="0"/>
                <w:szCs w:val="21"/>
              </w:rPr>
              <w:t>11</w:t>
            </w:r>
          </w:p>
        </w:tc>
        <w:tc>
          <w:tcPr>
            <w:tcW w:w="2180" w:type="dxa"/>
          </w:tcPr>
          <w:p w14:paraId="6D3116F0">
            <w:pPr>
              <w:jc w:val="center"/>
              <w:rPr>
                <w:rFonts w:ascii="Times New Roman" w:hAnsi="Times New Roman" w:cs="Times New Roman"/>
                <w:kern w:val="0"/>
                <w:szCs w:val="21"/>
              </w:rPr>
            </w:pPr>
            <w:r>
              <w:rPr>
                <w:rFonts w:hint="eastAsia" w:ascii="Times New Roman" w:hAnsi="Times New Roman" w:cs="Times New Roman"/>
                <w:kern w:val="0"/>
                <w:szCs w:val="21"/>
              </w:rPr>
              <w:t>带内平坦度</w:t>
            </w:r>
          </w:p>
        </w:tc>
        <w:tc>
          <w:tcPr>
            <w:tcW w:w="5202" w:type="dxa"/>
          </w:tcPr>
          <w:p w14:paraId="1DF77CC1">
            <w:pPr>
              <w:jc w:val="center"/>
              <w:rPr>
                <w:rFonts w:ascii="Times New Roman" w:hAnsi="Times New Roman" w:cs="Times New Roman"/>
                <w:kern w:val="0"/>
                <w:szCs w:val="21"/>
              </w:rPr>
            </w:pPr>
            <w:r>
              <w:rPr>
                <w:rFonts w:hint="eastAsia" w:ascii="Times New Roman" w:hAnsi="Times New Roman" w:cs="Times New Roman"/>
                <w:kern w:val="0"/>
                <w:szCs w:val="21"/>
              </w:rPr>
              <w:t>土2dB</w:t>
            </w:r>
          </w:p>
        </w:tc>
      </w:tr>
    </w:tbl>
    <w:p w14:paraId="2E24C07F">
      <w:pPr>
        <w:spacing w:line="360" w:lineRule="auto"/>
        <w:rPr>
          <w:rFonts w:cs="Times New Roman" w:asciiTheme="majorEastAsia" w:hAnsiTheme="majorEastAsia" w:eastAsiaTheme="majorEastAsia"/>
          <w:kern w:val="0"/>
          <w:szCs w:val="21"/>
        </w:rPr>
      </w:pPr>
    </w:p>
    <w:p w14:paraId="572A8F30">
      <w:pPr>
        <w:spacing w:line="360" w:lineRule="auto"/>
        <w:rPr>
          <w:rFonts w:cs="Times New Roman" w:asciiTheme="majorEastAsia" w:hAnsiTheme="majorEastAsia" w:eastAsiaTheme="majorEastAsia"/>
          <w:kern w:val="0"/>
          <w:szCs w:val="21"/>
        </w:rPr>
      </w:pPr>
      <w:r>
        <w:rPr>
          <w:rFonts w:hint="eastAsia" w:cs="Times New Roman" w:asciiTheme="majorEastAsia" w:hAnsiTheme="majorEastAsia" w:eastAsiaTheme="majorEastAsia"/>
          <w:kern w:val="0"/>
          <w:szCs w:val="21"/>
        </w:rPr>
        <w:t>5.2.4</w:t>
      </w:r>
      <w:r>
        <w:rPr>
          <w:rFonts w:cs="Times New Roman" w:asciiTheme="majorEastAsia" w:hAnsiTheme="majorEastAsia" w:eastAsiaTheme="majorEastAsia"/>
          <w:kern w:val="0"/>
          <w:szCs w:val="21"/>
        </w:rPr>
        <w:t xml:space="preserve">  </w:t>
      </w:r>
      <w:r>
        <w:rPr>
          <w:rFonts w:hint="eastAsia" w:cs="Times New Roman" w:asciiTheme="majorEastAsia" w:hAnsiTheme="majorEastAsia" w:eastAsiaTheme="majorEastAsia"/>
          <w:kern w:val="0"/>
          <w:szCs w:val="21"/>
        </w:rPr>
        <w:t>数据中心性能应符合下列规定：</w:t>
      </w:r>
    </w:p>
    <w:p w14:paraId="61BDDB5B">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数据中心能够接入基准站和监测站的总数不应少于</w:t>
      </w:r>
      <w:r>
        <w:rPr>
          <w:rFonts w:cs="Times New Roman" w:asciiTheme="minorEastAsia" w:hAnsiTheme="minorEastAsia"/>
          <w:kern w:val="0"/>
          <w:szCs w:val="21"/>
        </w:rPr>
        <w:t>1000</w:t>
      </w:r>
      <w:r>
        <w:rPr>
          <w:rFonts w:hint="eastAsia" w:cs="Times New Roman" w:asciiTheme="minorEastAsia" w:hAnsiTheme="minorEastAsia"/>
          <w:kern w:val="0"/>
          <w:szCs w:val="21"/>
        </w:rPr>
        <w:t>个；</w:t>
      </w:r>
    </w:p>
    <w:p w14:paraId="61A297B0">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至少应具备存储</w:t>
      </w:r>
      <w:r>
        <w:rPr>
          <w:rFonts w:cs="Times New Roman" w:asciiTheme="minorEastAsia" w:hAnsiTheme="minorEastAsia"/>
          <w:kern w:val="0"/>
          <w:szCs w:val="21"/>
        </w:rPr>
        <w:t>3</w:t>
      </w:r>
      <w:r>
        <w:rPr>
          <w:rFonts w:hint="eastAsia" w:cs="Times New Roman" w:asciiTheme="minorEastAsia" w:hAnsiTheme="minorEastAsia"/>
          <w:kern w:val="0"/>
          <w:szCs w:val="21"/>
        </w:rPr>
        <w:t>个月采样为</w:t>
      </w:r>
      <w:r>
        <w:rPr>
          <w:rFonts w:cs="Times New Roman" w:asciiTheme="minorEastAsia" w:hAnsiTheme="minorEastAsia"/>
          <w:kern w:val="0"/>
          <w:szCs w:val="21"/>
        </w:rPr>
        <w:t>1Hz</w:t>
      </w:r>
      <w:r>
        <w:rPr>
          <w:rFonts w:hint="eastAsia" w:cs="Times New Roman" w:asciiTheme="minorEastAsia" w:hAnsiTheme="minorEastAsia"/>
          <w:kern w:val="0"/>
          <w:szCs w:val="21"/>
        </w:rPr>
        <w:t>的原始观测数据、监测数据的能力；</w:t>
      </w:r>
    </w:p>
    <w:p w14:paraId="2D80034F">
      <w:pPr>
        <w:spacing w:line="360" w:lineRule="auto"/>
        <w:ind w:left="840" w:leftChars="200" w:hanging="420" w:hangingChars="200"/>
        <w:rPr>
          <w:rFonts w:cs="Times New Roman" w:asciiTheme="minorEastAsia" w:hAnsiTheme="minorEastAsia"/>
          <w:kern w:val="0"/>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数据中心系统接口服务器、管理服务器、数据解算服务器、数据接收服务器、存储设备、核心网络设备及监控单元主机应采用冗余配置。</w:t>
      </w:r>
    </w:p>
    <w:p w14:paraId="75CE6102">
      <w:pPr>
        <w:rPr>
          <w:b/>
        </w:rPr>
      </w:pPr>
    </w:p>
    <w:p w14:paraId="7B8F1307">
      <w:pPr>
        <w:pStyle w:val="5"/>
        <w:spacing w:before="0" w:after="0" w:line="360" w:lineRule="auto"/>
        <w:rPr>
          <w:rFonts w:ascii="黑体" w:hAnsi="黑体" w:eastAsia="黑体" w:cs="Times New Roman"/>
          <w:b w:val="0"/>
          <w:sz w:val="21"/>
          <w:szCs w:val="21"/>
        </w:rPr>
      </w:pPr>
      <w:bookmarkStart w:id="41" w:name="_Toc187827469"/>
      <w:r>
        <w:rPr>
          <w:rFonts w:ascii="黑体" w:hAnsi="黑体" w:eastAsia="黑体" w:cs="Times New Roman"/>
          <w:b w:val="0"/>
          <w:sz w:val="21"/>
          <w:szCs w:val="21"/>
        </w:rPr>
        <w:t>5.</w:t>
      </w:r>
      <w:r>
        <w:rPr>
          <w:rFonts w:hint="eastAsia" w:ascii="黑体" w:hAnsi="黑体" w:eastAsia="黑体" w:cs="Times New Roman"/>
          <w:b w:val="0"/>
          <w:sz w:val="21"/>
          <w:szCs w:val="21"/>
        </w:rPr>
        <w:t>3</w:t>
      </w:r>
      <w:r>
        <w:rPr>
          <w:rFonts w:ascii="黑体" w:hAnsi="黑体" w:eastAsia="黑体" w:cs="Times New Roman"/>
          <w:b w:val="0"/>
          <w:sz w:val="21"/>
          <w:szCs w:val="21"/>
        </w:rPr>
        <w:t xml:space="preserve">  </w:t>
      </w:r>
      <w:r>
        <w:rPr>
          <w:rFonts w:hint="eastAsia" w:ascii="黑体" w:hAnsi="黑体" w:eastAsia="黑体" w:cs="Times New Roman"/>
          <w:b w:val="0"/>
          <w:sz w:val="21"/>
          <w:szCs w:val="21"/>
        </w:rPr>
        <w:t>供电</w:t>
      </w:r>
      <w:bookmarkEnd w:id="37"/>
      <w:bookmarkEnd w:id="38"/>
      <w:bookmarkEnd w:id="39"/>
      <w:bookmarkEnd w:id="41"/>
    </w:p>
    <w:p w14:paraId="72C57A55">
      <w:pPr>
        <w:spacing w:line="360" w:lineRule="auto"/>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5.</w:t>
      </w:r>
      <w:r>
        <w:rPr>
          <w:rFonts w:hint="eastAsia" w:cs="Times New Roman" w:asciiTheme="majorEastAsia" w:hAnsiTheme="majorEastAsia" w:eastAsiaTheme="majorEastAsia"/>
          <w:kern w:val="0"/>
          <w:szCs w:val="21"/>
        </w:rPr>
        <w:t>3</w:t>
      </w:r>
      <w:r>
        <w:rPr>
          <w:rFonts w:cs="Times New Roman" w:asciiTheme="majorEastAsia" w:hAnsiTheme="majorEastAsia" w:eastAsiaTheme="majorEastAsia"/>
          <w:kern w:val="0"/>
          <w:szCs w:val="21"/>
        </w:rPr>
        <w:t xml:space="preserve">.1  </w:t>
      </w:r>
      <w:r>
        <w:rPr>
          <w:rFonts w:hint="eastAsia" w:cs="Times New Roman" w:asciiTheme="majorEastAsia" w:hAnsiTheme="majorEastAsia" w:eastAsiaTheme="majorEastAsia"/>
          <w:kern w:val="0"/>
          <w:szCs w:val="21"/>
        </w:rPr>
        <w:t>监测设备宜采用双回路电源供电，在外部电源突然中断时，设备和软件工作参数及采集数据不应丢失。</w:t>
      </w:r>
    </w:p>
    <w:p w14:paraId="69268A92">
      <w:pPr>
        <w:spacing w:line="360" w:lineRule="auto"/>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5.</w:t>
      </w:r>
      <w:r>
        <w:rPr>
          <w:rFonts w:hint="eastAsia" w:cs="Times New Roman" w:asciiTheme="majorEastAsia" w:hAnsiTheme="majorEastAsia" w:eastAsiaTheme="majorEastAsia"/>
          <w:kern w:val="0"/>
          <w:szCs w:val="21"/>
        </w:rPr>
        <w:t>3</w:t>
      </w:r>
      <w:r>
        <w:rPr>
          <w:rFonts w:cs="Times New Roman" w:asciiTheme="majorEastAsia" w:hAnsiTheme="majorEastAsia" w:eastAsiaTheme="majorEastAsia"/>
          <w:kern w:val="0"/>
          <w:szCs w:val="21"/>
        </w:rPr>
        <w:t xml:space="preserve">.2  </w:t>
      </w:r>
      <w:r>
        <w:rPr>
          <w:rFonts w:hint="eastAsia" w:cs="Times New Roman" w:asciiTheme="majorEastAsia" w:hAnsiTheme="majorEastAsia" w:eastAsiaTheme="majorEastAsia"/>
          <w:kern w:val="0"/>
          <w:szCs w:val="21"/>
        </w:rPr>
        <w:t>无可靠交流电源时，可采用太阳能或风能等现地电源供电。采用太阳能供电时，配套的蓄电池容量应保证监测设备在无日照条件下至少连续工作</w:t>
      </w:r>
      <w:r>
        <w:rPr>
          <w:rFonts w:cs="Times New Roman" w:asciiTheme="majorEastAsia" w:hAnsiTheme="majorEastAsia" w:eastAsiaTheme="majorEastAsia"/>
          <w:kern w:val="0"/>
          <w:szCs w:val="21"/>
        </w:rPr>
        <w:t>30</w:t>
      </w:r>
      <w:r>
        <w:rPr>
          <w:rFonts w:hint="eastAsia" w:cs="Times New Roman" w:asciiTheme="majorEastAsia" w:hAnsiTheme="majorEastAsia" w:eastAsiaTheme="majorEastAsia"/>
          <w:kern w:val="0"/>
          <w:szCs w:val="21"/>
        </w:rPr>
        <w:t>日。</w:t>
      </w:r>
    </w:p>
    <w:p w14:paraId="47BBEF80">
      <w:pPr>
        <w:spacing w:line="360" w:lineRule="auto"/>
        <w:rPr>
          <w:rFonts w:cs="Times New Roman" w:asciiTheme="majorEastAsia" w:hAnsiTheme="majorEastAsia" w:eastAsiaTheme="majorEastAsia"/>
          <w:kern w:val="0"/>
          <w:szCs w:val="21"/>
        </w:rPr>
      </w:pPr>
      <w:r>
        <w:rPr>
          <w:rFonts w:cs="Times New Roman" w:asciiTheme="majorEastAsia" w:hAnsiTheme="majorEastAsia" w:eastAsiaTheme="majorEastAsia"/>
          <w:kern w:val="0"/>
          <w:szCs w:val="21"/>
        </w:rPr>
        <w:t>5.</w:t>
      </w:r>
      <w:r>
        <w:rPr>
          <w:rFonts w:hint="eastAsia" w:cs="Times New Roman" w:asciiTheme="majorEastAsia" w:hAnsiTheme="majorEastAsia" w:eastAsiaTheme="majorEastAsia"/>
          <w:kern w:val="0"/>
          <w:szCs w:val="21"/>
        </w:rPr>
        <w:t>3</w:t>
      </w:r>
      <w:r>
        <w:rPr>
          <w:rFonts w:cs="Times New Roman" w:asciiTheme="majorEastAsia" w:hAnsiTheme="majorEastAsia" w:eastAsiaTheme="majorEastAsia"/>
          <w:kern w:val="0"/>
          <w:szCs w:val="21"/>
        </w:rPr>
        <w:t xml:space="preserve">.3  </w:t>
      </w:r>
      <w:r>
        <w:rPr>
          <w:rFonts w:hint="eastAsia" w:cs="Times New Roman" w:asciiTheme="majorEastAsia" w:hAnsiTheme="majorEastAsia" w:eastAsiaTheme="majorEastAsia"/>
          <w:kern w:val="0"/>
          <w:szCs w:val="21"/>
        </w:rPr>
        <w:t>电源应结合现场情况设置避雷器、隔离装置及稳压装置。</w:t>
      </w:r>
    </w:p>
    <w:p w14:paraId="6C38D152">
      <w:pPr>
        <w:pStyle w:val="50"/>
        <w:numPr>
          <w:ilvl w:val="0"/>
          <w:numId w:val="0"/>
        </w:numPr>
        <w:tabs>
          <w:tab w:val="clear" w:pos="1260"/>
        </w:tabs>
        <w:spacing w:line="360" w:lineRule="auto"/>
      </w:pPr>
      <w:r>
        <w:rPr>
          <w:rFonts w:asciiTheme="majorEastAsia" w:hAnsiTheme="majorEastAsia" w:eastAsiaTheme="majorEastAsia"/>
          <w:szCs w:val="21"/>
        </w:rPr>
        <w:t>5.</w:t>
      </w:r>
      <w:r>
        <w:rPr>
          <w:rFonts w:hint="eastAsia" w:asciiTheme="majorEastAsia" w:hAnsiTheme="majorEastAsia" w:eastAsiaTheme="majorEastAsia"/>
          <w:szCs w:val="21"/>
        </w:rPr>
        <w:t>3</w:t>
      </w:r>
      <w:r>
        <w:rPr>
          <w:rFonts w:asciiTheme="majorEastAsia" w:hAnsiTheme="majorEastAsia" w:eastAsiaTheme="majorEastAsia"/>
          <w:szCs w:val="21"/>
        </w:rPr>
        <w:t xml:space="preserve">.4  </w:t>
      </w:r>
      <w:r>
        <w:rPr>
          <w:rFonts w:hint="eastAsia"/>
        </w:rPr>
        <w:t>系统设备供电性能应满足：</w:t>
      </w:r>
    </w:p>
    <w:p w14:paraId="05C61188">
      <w:pPr>
        <w:pStyle w:val="51"/>
        <w:numPr>
          <w:ilvl w:val="0"/>
          <w:numId w:val="3"/>
        </w:numPr>
        <w:tabs>
          <w:tab w:val="clear" w:pos="851"/>
        </w:tabs>
        <w:spacing w:line="360" w:lineRule="auto"/>
        <w:ind w:left="839" w:hanging="419"/>
      </w:pPr>
      <w:r>
        <w:rPr>
          <w:rFonts w:hint="eastAsia"/>
        </w:rPr>
        <w:t>交流电源：额定电压为220V或36V，允许偏差±10%；频率为50Hz，允许偏差±2%；</w:t>
      </w:r>
    </w:p>
    <w:p w14:paraId="22D48C52">
      <w:pPr>
        <w:pStyle w:val="51"/>
        <w:numPr>
          <w:ilvl w:val="0"/>
          <w:numId w:val="3"/>
        </w:numPr>
        <w:tabs>
          <w:tab w:val="clear" w:pos="851"/>
        </w:tabs>
        <w:spacing w:line="360" w:lineRule="auto"/>
        <w:ind w:left="839" w:hanging="419"/>
      </w:pPr>
      <w:r>
        <w:rPr>
          <w:rFonts w:hint="eastAsia"/>
        </w:rPr>
        <w:t>直流电源：额定电压为9～24V。</w:t>
      </w:r>
    </w:p>
    <w:p w14:paraId="7F185C0A">
      <w:pPr>
        <w:pStyle w:val="46"/>
        <w:spacing w:line="360" w:lineRule="auto"/>
      </w:pPr>
      <w:r>
        <w:rPr>
          <w:rFonts w:hint="eastAsia"/>
        </w:rPr>
        <w:t>支持双路电源输入，单路断电不应影响设备工作；</w:t>
      </w:r>
    </w:p>
    <w:p w14:paraId="3F65699F">
      <w:pPr>
        <w:pStyle w:val="46"/>
        <w:spacing w:line="360" w:lineRule="auto"/>
      </w:pPr>
      <w:r>
        <w:rPr>
          <w:rFonts w:hint="eastAsia"/>
        </w:rPr>
        <w:t>配备不间断电源（</w:t>
      </w:r>
      <w:r>
        <w:t>UPS</w:t>
      </w:r>
      <w:r>
        <w:rPr>
          <w:rFonts w:hint="eastAsia"/>
        </w:rPr>
        <w:t>），额定功率下可连续工作</w:t>
      </w:r>
      <w:r>
        <w:t>24h</w:t>
      </w:r>
      <w:r>
        <w:rPr>
          <w:rFonts w:hint="eastAsia"/>
        </w:rPr>
        <w:t>。</w:t>
      </w:r>
    </w:p>
    <w:p w14:paraId="7EBC5C26">
      <w:pPr>
        <w:pStyle w:val="5"/>
        <w:spacing w:before="0" w:after="0" w:line="360" w:lineRule="auto"/>
        <w:rPr>
          <w:rFonts w:ascii="黑体" w:hAnsi="黑体" w:eastAsia="黑体" w:cs="Times New Roman"/>
          <w:b w:val="0"/>
          <w:sz w:val="21"/>
          <w:szCs w:val="21"/>
        </w:rPr>
      </w:pPr>
      <w:bookmarkStart w:id="42" w:name="_Toc166316665"/>
      <w:bookmarkStart w:id="43" w:name="_Toc5975"/>
      <w:bookmarkStart w:id="44" w:name="_Toc187827470"/>
      <w:bookmarkStart w:id="45" w:name="_Toc25308"/>
      <w:r>
        <w:rPr>
          <w:rFonts w:ascii="黑体" w:hAnsi="黑体" w:eastAsia="黑体" w:cs="Times New Roman"/>
          <w:b w:val="0"/>
          <w:sz w:val="21"/>
          <w:szCs w:val="21"/>
        </w:rPr>
        <w:t>5.</w:t>
      </w:r>
      <w:r>
        <w:rPr>
          <w:rFonts w:hint="eastAsia" w:ascii="黑体" w:hAnsi="黑体" w:eastAsia="黑体" w:cs="Times New Roman"/>
          <w:b w:val="0"/>
          <w:sz w:val="21"/>
          <w:szCs w:val="21"/>
        </w:rPr>
        <w:t>4</w:t>
      </w:r>
      <w:r>
        <w:rPr>
          <w:rFonts w:ascii="黑体" w:hAnsi="黑体" w:eastAsia="黑体" w:cs="Times New Roman"/>
          <w:b w:val="0"/>
          <w:sz w:val="21"/>
          <w:szCs w:val="21"/>
        </w:rPr>
        <w:t xml:space="preserve">  </w:t>
      </w:r>
      <w:r>
        <w:rPr>
          <w:rFonts w:hint="eastAsia" w:ascii="黑体" w:hAnsi="黑体" w:eastAsia="黑体" w:cs="Times New Roman"/>
          <w:b w:val="0"/>
          <w:sz w:val="21"/>
          <w:szCs w:val="21"/>
        </w:rPr>
        <w:t>电磁兼容</w:t>
      </w:r>
      <w:bookmarkEnd w:id="42"/>
      <w:bookmarkEnd w:id="43"/>
      <w:bookmarkEnd w:id="44"/>
      <w:bookmarkEnd w:id="45"/>
    </w:p>
    <w:p w14:paraId="5278164D">
      <w:pPr>
        <w:pStyle w:val="2"/>
        <w:ind w:left="0" w:leftChars="0" w:firstLine="0" w:firstLineChars="0"/>
      </w:pPr>
      <w:r>
        <w:rPr>
          <w:rFonts w:hint="eastAsia" w:asciiTheme="minorEastAsia" w:hAnsiTheme="minorEastAsia"/>
          <w:kern w:val="0"/>
          <w:szCs w:val="21"/>
        </w:rPr>
        <w:t xml:space="preserve">5.4.1  </w:t>
      </w:r>
      <w:r>
        <w:rPr>
          <w:rFonts w:hint="eastAsia"/>
        </w:rPr>
        <w:t>静电放电抗扰度应符合GB/T 17626.2 中等级3的规定。</w:t>
      </w:r>
    </w:p>
    <w:p w14:paraId="3C692AAE">
      <w:pPr>
        <w:pStyle w:val="2"/>
        <w:ind w:left="0" w:leftChars="0" w:firstLine="0" w:firstLineChars="0"/>
      </w:pPr>
      <w:r>
        <w:rPr>
          <w:rFonts w:asciiTheme="minorEastAsia" w:hAnsiTheme="minorEastAsia"/>
          <w:kern w:val="0"/>
          <w:szCs w:val="21"/>
        </w:rPr>
        <w:t>5.4.2</w:t>
      </w:r>
      <w:r>
        <w:rPr>
          <w:rFonts w:hint="eastAsia"/>
        </w:rPr>
        <w:t xml:space="preserve">  射频电磁场辐射抗扰度应符合GB/T 17626.3 中等级3的规定。</w:t>
      </w:r>
    </w:p>
    <w:p w14:paraId="0FD40AD1">
      <w:pPr>
        <w:pStyle w:val="2"/>
        <w:ind w:left="0" w:leftChars="0" w:firstLine="0" w:firstLineChars="0"/>
      </w:pPr>
      <w:r>
        <w:rPr>
          <w:rFonts w:asciiTheme="minorEastAsia" w:hAnsiTheme="minorEastAsia"/>
          <w:kern w:val="0"/>
          <w:szCs w:val="21"/>
        </w:rPr>
        <w:t xml:space="preserve">5.4.3 </w:t>
      </w:r>
      <w:r>
        <w:rPr>
          <w:rFonts w:hint="eastAsia"/>
        </w:rPr>
        <w:t xml:space="preserve"> 浪涌（冲击）抗扰度应符合GB/T 17626.5 中等级3的规定。</w:t>
      </w:r>
    </w:p>
    <w:p w14:paraId="1EF7817F">
      <w:pPr>
        <w:pStyle w:val="2"/>
        <w:ind w:left="0" w:leftChars="0" w:firstLine="0" w:firstLineChars="0"/>
      </w:pPr>
      <w:r>
        <w:rPr>
          <w:rFonts w:asciiTheme="minorEastAsia" w:hAnsiTheme="minorEastAsia"/>
          <w:kern w:val="0"/>
          <w:szCs w:val="21"/>
        </w:rPr>
        <w:t>5.4.4</w:t>
      </w:r>
      <w:r>
        <w:rPr>
          <w:rFonts w:hint="eastAsia"/>
        </w:rPr>
        <w:t xml:space="preserve">  工频磁场抗扰度应符合GB/T 17626.8 中等级3的规定。</w:t>
      </w:r>
    </w:p>
    <w:p w14:paraId="0B83FE2C">
      <w:pPr>
        <w:pStyle w:val="5"/>
        <w:spacing w:before="0" w:after="0" w:line="360" w:lineRule="auto"/>
        <w:rPr>
          <w:rFonts w:ascii="黑体" w:hAnsi="黑体" w:eastAsia="黑体" w:cs="Times New Roman"/>
          <w:b w:val="0"/>
          <w:sz w:val="21"/>
          <w:szCs w:val="21"/>
        </w:rPr>
      </w:pPr>
      <w:bookmarkStart w:id="46" w:name="_Toc166316666"/>
      <w:bookmarkStart w:id="47" w:name="_Toc32286"/>
      <w:bookmarkStart w:id="48" w:name="_Toc187827471"/>
      <w:bookmarkStart w:id="49" w:name="_Toc442"/>
      <w:r>
        <w:rPr>
          <w:rFonts w:ascii="黑体" w:hAnsi="黑体" w:eastAsia="黑体" w:cs="Times New Roman"/>
          <w:b w:val="0"/>
          <w:sz w:val="21"/>
          <w:szCs w:val="21"/>
        </w:rPr>
        <w:t>5.</w:t>
      </w:r>
      <w:r>
        <w:rPr>
          <w:rFonts w:hint="eastAsia" w:ascii="黑体" w:hAnsi="黑体" w:eastAsia="黑体" w:cs="Times New Roman"/>
          <w:b w:val="0"/>
          <w:sz w:val="21"/>
          <w:szCs w:val="21"/>
        </w:rPr>
        <w:t>5</w:t>
      </w:r>
      <w:r>
        <w:rPr>
          <w:rFonts w:ascii="黑体" w:hAnsi="黑体" w:eastAsia="黑体" w:cs="Times New Roman"/>
          <w:b w:val="0"/>
          <w:sz w:val="21"/>
          <w:szCs w:val="21"/>
        </w:rPr>
        <w:t xml:space="preserve">  </w:t>
      </w:r>
      <w:r>
        <w:rPr>
          <w:rFonts w:hint="eastAsia" w:ascii="黑体" w:hAnsi="黑体" w:eastAsia="黑体" w:cs="Times New Roman"/>
          <w:b w:val="0"/>
          <w:sz w:val="21"/>
          <w:szCs w:val="21"/>
        </w:rPr>
        <w:t>外壳防护等级和抗冲击强度</w:t>
      </w:r>
      <w:bookmarkEnd w:id="46"/>
      <w:bookmarkEnd w:id="47"/>
      <w:bookmarkEnd w:id="48"/>
      <w:bookmarkEnd w:id="49"/>
    </w:p>
    <w:p w14:paraId="632DF0B9">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5</w:t>
      </w:r>
      <w:r>
        <w:rPr>
          <w:rFonts w:cs="Times New Roman" w:asciiTheme="minorEastAsia" w:hAnsiTheme="minorEastAsia"/>
          <w:kern w:val="0"/>
          <w:szCs w:val="21"/>
        </w:rPr>
        <w:t xml:space="preserve">.1  </w:t>
      </w:r>
      <w:r>
        <w:rPr>
          <w:rFonts w:hint="eastAsia" w:cs="Times New Roman" w:asciiTheme="minorEastAsia" w:hAnsiTheme="minorEastAsia"/>
          <w:kern w:val="0"/>
          <w:szCs w:val="21"/>
        </w:rPr>
        <w:t>基准站、监测站设备外壳防护等级应防水防尘，并符合</w:t>
      </w:r>
      <w:r>
        <w:rPr>
          <w:rFonts w:cs="Times New Roman" w:asciiTheme="minorEastAsia" w:hAnsiTheme="minorEastAsia"/>
          <w:kern w:val="0"/>
          <w:szCs w:val="21"/>
        </w:rPr>
        <w:t>GB/T 4208-2017</w:t>
      </w:r>
      <w:r>
        <w:rPr>
          <w:rFonts w:hint="eastAsia" w:cs="Times New Roman" w:asciiTheme="minorEastAsia" w:hAnsiTheme="minorEastAsia"/>
          <w:kern w:val="0"/>
          <w:szCs w:val="21"/>
        </w:rPr>
        <w:t>中</w:t>
      </w:r>
      <w:r>
        <w:rPr>
          <w:rFonts w:cs="Times New Roman" w:asciiTheme="minorEastAsia" w:hAnsiTheme="minorEastAsia"/>
          <w:kern w:val="0"/>
          <w:szCs w:val="21"/>
        </w:rPr>
        <w:t>IP68</w:t>
      </w:r>
      <w:r>
        <w:rPr>
          <w:rFonts w:hint="eastAsia" w:cs="Times New Roman" w:asciiTheme="minorEastAsia" w:hAnsiTheme="minorEastAsia"/>
          <w:kern w:val="0"/>
          <w:szCs w:val="21"/>
        </w:rPr>
        <w:t>的规定。</w:t>
      </w:r>
    </w:p>
    <w:p w14:paraId="29B20D25">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5</w:t>
      </w:r>
      <w:r>
        <w:rPr>
          <w:rFonts w:cs="Times New Roman" w:asciiTheme="minorEastAsia" w:hAnsiTheme="minorEastAsia"/>
          <w:kern w:val="0"/>
          <w:szCs w:val="21"/>
        </w:rPr>
        <w:t xml:space="preserve">.2  </w:t>
      </w:r>
      <w:r>
        <w:rPr>
          <w:rFonts w:hint="eastAsia" w:cs="Times New Roman" w:asciiTheme="minorEastAsia" w:hAnsiTheme="minorEastAsia"/>
          <w:kern w:val="0"/>
          <w:szCs w:val="21"/>
        </w:rPr>
        <w:t>应能够抗</w:t>
      </w:r>
      <w:r>
        <w:rPr>
          <w:rFonts w:cs="Times New Roman" w:asciiTheme="minorEastAsia" w:hAnsiTheme="minorEastAsia"/>
          <w:kern w:val="0"/>
          <w:szCs w:val="21"/>
        </w:rPr>
        <w:t>1.5m</w:t>
      </w:r>
      <w:r>
        <w:rPr>
          <w:rFonts w:hint="eastAsia" w:cs="Times New Roman" w:asciiTheme="minorEastAsia" w:hAnsiTheme="minorEastAsia"/>
          <w:kern w:val="0"/>
          <w:szCs w:val="21"/>
        </w:rPr>
        <w:t>混凝土地面跌落冲击。</w:t>
      </w:r>
    </w:p>
    <w:p w14:paraId="18D1B71F">
      <w:pPr>
        <w:pStyle w:val="5"/>
        <w:spacing w:before="0" w:after="0" w:line="360" w:lineRule="auto"/>
        <w:rPr>
          <w:rFonts w:ascii="黑体" w:hAnsi="黑体" w:eastAsia="黑体" w:cs="Times New Roman"/>
          <w:b w:val="0"/>
          <w:sz w:val="21"/>
          <w:szCs w:val="21"/>
        </w:rPr>
      </w:pPr>
      <w:bookmarkStart w:id="50" w:name="_Toc187827472"/>
      <w:bookmarkStart w:id="51" w:name="_Toc19793"/>
      <w:bookmarkStart w:id="52" w:name="_Toc166316667"/>
      <w:bookmarkStart w:id="53" w:name="_Toc12559"/>
      <w:r>
        <w:rPr>
          <w:rFonts w:ascii="黑体" w:hAnsi="黑体" w:eastAsia="黑体" w:cs="Times New Roman"/>
          <w:b w:val="0"/>
          <w:sz w:val="21"/>
          <w:szCs w:val="21"/>
        </w:rPr>
        <w:t>5.</w:t>
      </w:r>
      <w:r>
        <w:rPr>
          <w:rFonts w:hint="eastAsia" w:ascii="黑体" w:hAnsi="黑体" w:eastAsia="黑体" w:cs="Times New Roman"/>
          <w:b w:val="0"/>
          <w:sz w:val="21"/>
          <w:szCs w:val="21"/>
        </w:rPr>
        <w:t>6</w:t>
      </w:r>
      <w:r>
        <w:rPr>
          <w:rFonts w:ascii="黑体" w:hAnsi="黑体" w:eastAsia="黑体" w:cs="Times New Roman"/>
          <w:b w:val="0"/>
          <w:sz w:val="21"/>
          <w:szCs w:val="21"/>
        </w:rPr>
        <w:t xml:space="preserve">  </w:t>
      </w:r>
      <w:r>
        <w:rPr>
          <w:rFonts w:hint="eastAsia" w:ascii="黑体" w:hAnsi="黑体" w:eastAsia="黑体" w:cs="Times New Roman"/>
          <w:b w:val="0"/>
          <w:sz w:val="21"/>
          <w:szCs w:val="21"/>
        </w:rPr>
        <w:t>可靠性要求</w:t>
      </w:r>
      <w:bookmarkEnd w:id="50"/>
      <w:bookmarkEnd w:id="51"/>
      <w:bookmarkEnd w:id="52"/>
      <w:bookmarkEnd w:id="53"/>
    </w:p>
    <w:p w14:paraId="17AC1A2C">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6</w:t>
      </w:r>
      <w:r>
        <w:rPr>
          <w:rFonts w:cs="Times New Roman" w:asciiTheme="minorEastAsia" w:hAnsiTheme="minorEastAsia"/>
          <w:kern w:val="0"/>
          <w:szCs w:val="21"/>
        </w:rPr>
        <w:t xml:space="preserve">.1  </w:t>
      </w:r>
      <w:r>
        <w:rPr>
          <w:rFonts w:hint="eastAsia" w:cs="Times New Roman" w:asciiTheme="minorEastAsia" w:hAnsiTheme="minorEastAsia"/>
          <w:kern w:val="0"/>
          <w:szCs w:val="21"/>
        </w:rPr>
        <w:t>监测系统应能</w:t>
      </w:r>
      <w:r>
        <w:rPr>
          <w:rFonts w:cs="Times New Roman" w:asciiTheme="minorEastAsia" w:hAnsiTheme="minorEastAsia"/>
          <w:kern w:val="0"/>
          <w:szCs w:val="21"/>
        </w:rPr>
        <w:t>24h</w:t>
      </w:r>
      <w:r>
        <w:rPr>
          <w:rFonts w:hint="eastAsia" w:cs="Times New Roman" w:asciiTheme="minorEastAsia" w:hAnsiTheme="minorEastAsia"/>
          <w:kern w:val="0"/>
          <w:szCs w:val="21"/>
        </w:rPr>
        <w:t>不间断运行。</w:t>
      </w:r>
    </w:p>
    <w:p w14:paraId="03CBA367">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6</w:t>
      </w:r>
      <w:r>
        <w:rPr>
          <w:rFonts w:cs="Times New Roman" w:asciiTheme="minorEastAsia" w:hAnsiTheme="minorEastAsia"/>
          <w:kern w:val="0"/>
          <w:szCs w:val="21"/>
        </w:rPr>
        <w:t xml:space="preserve">.2  </w:t>
      </w:r>
      <w:r>
        <w:rPr>
          <w:rFonts w:hint="eastAsia" w:cs="Times New Roman" w:asciiTheme="minorEastAsia" w:hAnsiTheme="minorEastAsia"/>
          <w:kern w:val="0"/>
          <w:szCs w:val="21"/>
        </w:rPr>
        <w:t>平均无故障工作时间（</w:t>
      </w:r>
      <w:r>
        <w:rPr>
          <w:rFonts w:cs="Times New Roman" w:asciiTheme="minorEastAsia" w:hAnsiTheme="minorEastAsia"/>
          <w:kern w:val="0"/>
          <w:sz w:val="24"/>
          <w:szCs w:val="24"/>
        </w:rPr>
        <w:t>MTBF</w:t>
      </w:r>
      <w:r>
        <w:rPr>
          <w:rFonts w:hint="eastAsia" w:cs="Times New Roman" w:asciiTheme="minorEastAsia" w:hAnsiTheme="minorEastAsia"/>
          <w:kern w:val="0"/>
          <w:szCs w:val="21"/>
        </w:rPr>
        <w:t>）应满足下列要求：</w:t>
      </w:r>
    </w:p>
    <w:p w14:paraId="4B5559D1">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监测中心设备：</w:t>
      </w:r>
      <w:r>
        <w:rPr>
          <w:rFonts w:cs="Times New Roman" w:asciiTheme="minorEastAsia" w:hAnsiTheme="minorEastAsia"/>
          <w:kern w:val="0"/>
          <w:szCs w:val="21"/>
        </w:rPr>
        <w:t>MTBF</w:t>
      </w:r>
      <w:r>
        <w:rPr>
          <w:rFonts w:hint="eastAsia" w:cs="Times New Roman" w:asciiTheme="minorEastAsia" w:hAnsiTheme="minorEastAsia"/>
          <w:kern w:val="0"/>
          <w:szCs w:val="21"/>
        </w:rPr>
        <w:t>不小于</w:t>
      </w:r>
      <w:r>
        <w:rPr>
          <w:rFonts w:cs="Times New Roman" w:asciiTheme="minorEastAsia" w:hAnsiTheme="minorEastAsia"/>
          <w:kern w:val="0"/>
          <w:szCs w:val="21"/>
        </w:rPr>
        <w:t>5</w:t>
      </w:r>
      <w:r>
        <w:rPr>
          <w:rFonts w:hint="eastAsia" w:cs="Times New Roman" w:asciiTheme="minorEastAsia" w:hAnsiTheme="minorEastAsia"/>
          <w:kern w:val="0"/>
          <w:szCs w:val="21"/>
        </w:rPr>
        <w:t>×</w:t>
      </w:r>
      <w:r>
        <w:rPr>
          <w:rFonts w:cs="Times New Roman" w:asciiTheme="minorEastAsia" w:hAnsiTheme="minorEastAsia"/>
          <w:kern w:val="0"/>
          <w:szCs w:val="21"/>
        </w:rPr>
        <w:t>10</w:t>
      </w:r>
      <w:r>
        <w:rPr>
          <w:rFonts w:cs="Times New Roman" w:asciiTheme="minorEastAsia" w:hAnsiTheme="minorEastAsia"/>
          <w:kern w:val="0"/>
          <w:szCs w:val="21"/>
          <w:vertAlign w:val="superscript"/>
        </w:rPr>
        <w:t>4</w:t>
      </w:r>
      <w:r>
        <w:rPr>
          <w:rFonts w:cs="Times New Roman" w:asciiTheme="minorEastAsia" w:hAnsiTheme="minorEastAsia"/>
          <w:kern w:val="0"/>
          <w:szCs w:val="21"/>
        </w:rPr>
        <w:t>h；</w:t>
      </w:r>
    </w:p>
    <w:p w14:paraId="24104973">
      <w:pPr>
        <w:spacing w:line="360" w:lineRule="auto"/>
        <w:ind w:firstLine="420" w:firstLineChars="200"/>
        <w:rPr>
          <w:rFonts w:cs="Times New Roman" w:asciiTheme="minorEastAsia" w:hAnsiTheme="minorEastAsia"/>
          <w:kern w:val="0"/>
          <w:sz w:val="24"/>
          <w:szCs w:val="24"/>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基准站、监测站设备：</w:t>
      </w:r>
      <w:r>
        <w:rPr>
          <w:rFonts w:cs="Times New Roman" w:asciiTheme="minorEastAsia" w:hAnsiTheme="minorEastAsia"/>
          <w:kern w:val="0"/>
          <w:szCs w:val="21"/>
        </w:rPr>
        <w:t>MTBF</w:t>
      </w:r>
      <w:r>
        <w:rPr>
          <w:rFonts w:hint="eastAsia" w:cs="Times New Roman" w:asciiTheme="minorEastAsia" w:hAnsiTheme="minorEastAsia"/>
          <w:kern w:val="0"/>
          <w:szCs w:val="21"/>
        </w:rPr>
        <w:t>不小于</w:t>
      </w:r>
      <w:r>
        <w:rPr>
          <w:rFonts w:cs="Times New Roman" w:asciiTheme="minorEastAsia" w:hAnsiTheme="minorEastAsia"/>
          <w:kern w:val="0"/>
          <w:szCs w:val="21"/>
        </w:rPr>
        <w:t>2</w:t>
      </w:r>
      <w:r>
        <w:rPr>
          <w:rFonts w:hint="eastAsia" w:cs="Times New Roman" w:asciiTheme="minorEastAsia" w:hAnsiTheme="minorEastAsia"/>
          <w:kern w:val="0"/>
          <w:szCs w:val="21"/>
        </w:rPr>
        <w:t>×</w:t>
      </w:r>
      <w:r>
        <w:rPr>
          <w:rFonts w:cs="Times New Roman" w:asciiTheme="minorEastAsia" w:hAnsiTheme="minorEastAsia"/>
          <w:kern w:val="0"/>
          <w:szCs w:val="21"/>
        </w:rPr>
        <w:t>10</w:t>
      </w:r>
      <w:r>
        <w:rPr>
          <w:rFonts w:cs="Times New Roman" w:asciiTheme="minorEastAsia" w:hAnsiTheme="minorEastAsia"/>
          <w:kern w:val="0"/>
          <w:szCs w:val="21"/>
          <w:vertAlign w:val="superscript"/>
        </w:rPr>
        <w:t>4</w:t>
      </w:r>
      <w:r>
        <w:rPr>
          <w:rFonts w:cs="Times New Roman" w:asciiTheme="minorEastAsia" w:hAnsiTheme="minorEastAsia"/>
          <w:kern w:val="0"/>
          <w:szCs w:val="21"/>
        </w:rPr>
        <w:t>h</w:t>
      </w:r>
      <w:r>
        <w:rPr>
          <w:rFonts w:cs="Times New Roman" w:asciiTheme="minorEastAsia" w:hAnsiTheme="minorEastAsia"/>
          <w:kern w:val="0"/>
          <w:sz w:val="24"/>
          <w:szCs w:val="24"/>
        </w:rPr>
        <w:t>；</w:t>
      </w:r>
    </w:p>
    <w:p w14:paraId="565E7B79">
      <w:pPr>
        <w:spacing w:line="360" w:lineRule="auto"/>
        <w:ind w:firstLine="420" w:firstLineChars="200"/>
        <w:rPr>
          <w:rFonts w:cs="Times New Roman" w:asciiTheme="minorEastAsia" w:hAnsiTheme="minorEastAsia"/>
          <w:kern w:val="0"/>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监测系统：</w:t>
      </w:r>
      <w:r>
        <w:rPr>
          <w:rFonts w:cs="Times New Roman" w:asciiTheme="minorEastAsia" w:hAnsiTheme="minorEastAsia"/>
          <w:kern w:val="0"/>
          <w:szCs w:val="21"/>
        </w:rPr>
        <w:t>MTBF</w:t>
      </w:r>
      <w:r>
        <w:rPr>
          <w:rFonts w:hint="eastAsia" w:cs="Times New Roman" w:asciiTheme="minorEastAsia" w:hAnsiTheme="minorEastAsia"/>
          <w:kern w:val="0"/>
          <w:szCs w:val="21"/>
        </w:rPr>
        <w:t>不小于</w:t>
      </w:r>
      <w:r>
        <w:rPr>
          <w:rFonts w:cs="Times New Roman" w:asciiTheme="minorEastAsia" w:hAnsiTheme="minorEastAsia"/>
          <w:kern w:val="0"/>
          <w:szCs w:val="21"/>
        </w:rPr>
        <w:t>6300h</w:t>
      </w:r>
      <w:r>
        <w:rPr>
          <w:rFonts w:hint="eastAsia" w:cs="Times New Roman" w:asciiTheme="minorEastAsia" w:hAnsiTheme="minorEastAsia"/>
          <w:kern w:val="0"/>
          <w:szCs w:val="21"/>
        </w:rPr>
        <w:t>。</w:t>
      </w:r>
    </w:p>
    <w:p w14:paraId="18D511BC">
      <w:pPr>
        <w:spacing w:line="360" w:lineRule="auto"/>
        <w:rPr>
          <w:rFonts w:ascii="Times New Roman" w:hAnsi="Times New Roman" w:cs="Times New Roman"/>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6</w:t>
      </w:r>
      <w:r>
        <w:rPr>
          <w:rFonts w:cs="Times New Roman" w:asciiTheme="minorEastAsia" w:hAnsiTheme="minorEastAsia"/>
          <w:kern w:val="0"/>
          <w:szCs w:val="21"/>
        </w:rPr>
        <w:t xml:space="preserve">.3  </w:t>
      </w:r>
      <w:r>
        <w:rPr>
          <w:rFonts w:hint="eastAsia" w:cs="Times New Roman" w:asciiTheme="minorEastAsia" w:hAnsiTheme="minorEastAsia"/>
          <w:kern w:val="0"/>
          <w:szCs w:val="21"/>
        </w:rPr>
        <w:t>位移成果数据缺失率</w:t>
      </w:r>
      <w:r>
        <w:rPr>
          <w:rFonts w:cs="Times New Roman" w:asciiTheme="minorEastAsia" w:hAnsiTheme="minorEastAsia"/>
          <w:kern w:val="0"/>
          <w:szCs w:val="21"/>
        </w:rPr>
        <w:t>FR</w:t>
      </w:r>
      <w:r>
        <w:rPr>
          <w:rFonts w:hint="eastAsia" w:cs="Times New Roman" w:asciiTheme="minorEastAsia" w:hAnsiTheme="minorEastAsia"/>
          <w:kern w:val="0"/>
          <w:szCs w:val="21"/>
        </w:rPr>
        <w:t>应不大于</w:t>
      </w:r>
      <w:r>
        <w:rPr>
          <w:rFonts w:cs="Times New Roman" w:asciiTheme="minorEastAsia" w:hAnsiTheme="minorEastAsia"/>
          <w:kern w:val="0"/>
          <w:szCs w:val="21"/>
        </w:rPr>
        <w:t>3%</w:t>
      </w:r>
      <w:r>
        <w:rPr>
          <w:rFonts w:hint="eastAsia" w:cs="Times New Roman" w:asciiTheme="minorEastAsia" w:hAnsiTheme="minorEastAsia"/>
          <w:kern w:val="0"/>
          <w:szCs w:val="21"/>
        </w:rPr>
        <w:t>。</w:t>
      </w:r>
    </w:p>
    <w:p w14:paraId="575A07B0">
      <w:pPr>
        <w:pStyle w:val="5"/>
        <w:spacing w:before="0" w:after="0" w:line="360" w:lineRule="auto"/>
        <w:rPr>
          <w:rFonts w:ascii="黑体" w:hAnsi="黑体" w:eastAsia="黑体" w:cs="Times New Roman"/>
          <w:szCs w:val="21"/>
        </w:rPr>
      </w:pPr>
      <w:bookmarkStart w:id="54" w:name="_Toc166316668"/>
      <w:bookmarkStart w:id="55" w:name="_Toc187827473"/>
      <w:bookmarkStart w:id="56" w:name="_Toc4777"/>
      <w:bookmarkStart w:id="57" w:name="_Toc10589"/>
      <w:r>
        <w:rPr>
          <w:rFonts w:ascii="黑体" w:hAnsi="黑体" w:eastAsia="黑体" w:cs="Times New Roman"/>
          <w:b w:val="0"/>
          <w:sz w:val="21"/>
          <w:szCs w:val="21"/>
        </w:rPr>
        <w:t>5.</w:t>
      </w:r>
      <w:r>
        <w:rPr>
          <w:rFonts w:hint="eastAsia" w:ascii="黑体" w:hAnsi="黑体" w:eastAsia="黑体" w:cs="Times New Roman"/>
          <w:b w:val="0"/>
          <w:sz w:val="21"/>
          <w:szCs w:val="21"/>
        </w:rPr>
        <w:t>7</w:t>
      </w:r>
      <w:r>
        <w:rPr>
          <w:rFonts w:ascii="黑体" w:hAnsi="黑体" w:eastAsia="黑体" w:cs="Times New Roman"/>
          <w:b w:val="0"/>
          <w:sz w:val="21"/>
          <w:szCs w:val="21"/>
        </w:rPr>
        <w:t xml:space="preserve">  </w:t>
      </w:r>
      <w:r>
        <w:rPr>
          <w:rFonts w:hint="eastAsia" w:ascii="黑体" w:hAnsi="黑体" w:eastAsia="黑体" w:cs="Times New Roman"/>
          <w:b w:val="0"/>
          <w:sz w:val="21"/>
          <w:szCs w:val="21"/>
        </w:rPr>
        <w:t>防雷</w:t>
      </w:r>
      <w:bookmarkEnd w:id="54"/>
      <w:bookmarkEnd w:id="55"/>
      <w:bookmarkEnd w:id="56"/>
      <w:bookmarkEnd w:id="57"/>
    </w:p>
    <w:p w14:paraId="699A0331">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.1  </w:t>
      </w:r>
      <w:r>
        <w:rPr>
          <w:rFonts w:hint="eastAsia" w:cs="Times New Roman" w:asciiTheme="minorEastAsia" w:hAnsiTheme="minorEastAsia"/>
          <w:kern w:val="0"/>
          <w:szCs w:val="21"/>
        </w:rPr>
        <w:t>系统各类站点应配置防雷设施，根据现场情况布设防雷设施和接地系统，包括防雷接地、设备接地、交流供电的电源接地。</w:t>
      </w:r>
    </w:p>
    <w:p w14:paraId="1A53DC07">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.2  </w:t>
      </w:r>
      <w:r>
        <w:rPr>
          <w:rFonts w:hint="eastAsia" w:cs="Times New Roman" w:asciiTheme="minorEastAsia" w:hAnsiTheme="minorEastAsia"/>
          <w:kern w:val="0"/>
          <w:szCs w:val="21"/>
        </w:rPr>
        <w:t>直击雷防护应设置避雷针，避雷针针尖高度应高过接收天线。</w:t>
      </w:r>
    </w:p>
    <w:p w14:paraId="1D8DA35C">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.3  </w:t>
      </w:r>
      <w:r>
        <w:rPr>
          <w:rFonts w:hint="eastAsia" w:cs="Times New Roman" w:asciiTheme="minorEastAsia" w:hAnsiTheme="minorEastAsia"/>
          <w:kern w:val="0"/>
          <w:szCs w:val="21"/>
        </w:rPr>
        <w:t>各基准站和监测站宜与工程接地网相连，无接地网可用时，应单独设置接地装置，接地电阻应小于</w:t>
      </w:r>
      <w:r>
        <w:rPr>
          <w:rFonts w:cs="Times New Roman" w:asciiTheme="minorEastAsia" w:hAnsiTheme="minorEastAsia"/>
          <w:kern w:val="0"/>
          <w:szCs w:val="21"/>
        </w:rPr>
        <w:t>10Ω</w:t>
      </w:r>
      <w:r>
        <w:rPr>
          <w:rFonts w:hint="eastAsia" w:cs="Times New Roman" w:asciiTheme="minorEastAsia" w:hAnsiTheme="minorEastAsia"/>
          <w:kern w:val="0"/>
          <w:szCs w:val="21"/>
        </w:rPr>
        <w:t>。监测中心接地电阻应小于</w:t>
      </w:r>
      <w:r>
        <w:rPr>
          <w:rFonts w:cs="Times New Roman" w:asciiTheme="minorEastAsia" w:hAnsiTheme="minorEastAsia"/>
          <w:kern w:val="0"/>
          <w:szCs w:val="21"/>
        </w:rPr>
        <w:t>4Ω</w:t>
      </w:r>
      <w:r>
        <w:rPr>
          <w:rFonts w:hint="eastAsia" w:cs="Times New Roman" w:asciiTheme="minorEastAsia" w:hAnsiTheme="minorEastAsia"/>
          <w:kern w:val="0"/>
          <w:szCs w:val="21"/>
        </w:rPr>
        <w:t>。</w:t>
      </w:r>
    </w:p>
    <w:p w14:paraId="3CB27BA4">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.4  </w:t>
      </w:r>
      <w:r>
        <w:rPr>
          <w:rFonts w:hint="eastAsia" w:cs="Times New Roman" w:asciiTheme="minorEastAsia" w:hAnsiTheme="minorEastAsia"/>
          <w:kern w:val="0"/>
          <w:szCs w:val="21"/>
        </w:rPr>
        <w:t>交流电源输入端应设置电源避雷器﹑隔离变压器或其他防雷装置，在雷电多发区，直流电源也应采用直流电源避雷装置。</w:t>
      </w:r>
    </w:p>
    <w:p w14:paraId="30B9E311">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.5  </w:t>
      </w:r>
      <w:r>
        <w:rPr>
          <w:rFonts w:hint="eastAsia" w:cs="Times New Roman" w:asciiTheme="minorEastAsia" w:hAnsiTheme="minorEastAsia"/>
          <w:kern w:val="0"/>
          <w:szCs w:val="21"/>
        </w:rPr>
        <w:t>室外电缆应采取加装防腐金属套管埋地或将金属套管一端良好接地等防雷措施。信号线输入端应配置防浪涌设备或信号避雷器。</w:t>
      </w:r>
    </w:p>
    <w:p w14:paraId="6AF3A6BE">
      <w:pPr>
        <w:spacing w:line="360" w:lineRule="auto"/>
        <w:rPr>
          <w:rFonts w:cs="Times New Roman" w:asciiTheme="minorEastAsia" w:hAnsiTheme="minorEastAsia"/>
          <w:kern w:val="0"/>
          <w:szCs w:val="21"/>
        </w:rPr>
      </w:pPr>
      <w:r>
        <w:rPr>
          <w:rFonts w:cs="Times New Roman" w:asciiTheme="minorEastAsia" w:hAnsiTheme="minorEastAsia"/>
          <w:kern w:val="0"/>
          <w:szCs w:val="21"/>
        </w:rPr>
        <w:t>5.</w:t>
      </w:r>
      <w:r>
        <w:rPr>
          <w:rFonts w:hint="eastAsia" w:cs="Times New Roman" w:asciiTheme="minorEastAsia" w:hAnsiTheme="minorEastAsia"/>
          <w:kern w:val="0"/>
          <w:szCs w:val="21"/>
        </w:rPr>
        <w:t>7</w:t>
      </w:r>
      <w:r>
        <w:rPr>
          <w:rFonts w:cs="Times New Roman" w:asciiTheme="minorEastAsia" w:hAnsiTheme="minorEastAsia"/>
          <w:kern w:val="0"/>
          <w:szCs w:val="21"/>
        </w:rPr>
        <w:t xml:space="preserve">.6  </w:t>
      </w:r>
      <w:r>
        <w:rPr>
          <w:rFonts w:hint="eastAsia" w:cs="Times New Roman" w:asciiTheme="minorEastAsia" w:hAnsiTheme="minorEastAsia"/>
          <w:kern w:val="0"/>
          <w:szCs w:val="21"/>
        </w:rPr>
        <w:t>天线线缆应加装源射频线防雷装置。</w:t>
      </w:r>
    </w:p>
    <w:p w14:paraId="00FD7498">
      <w:pPr>
        <w:spacing w:line="360" w:lineRule="auto"/>
        <w:rPr>
          <w:rFonts w:cs="Times New Roman" w:asciiTheme="minorEastAsia" w:hAnsiTheme="minorEastAsia"/>
          <w:kern w:val="0"/>
          <w:szCs w:val="21"/>
        </w:rPr>
      </w:pPr>
    </w:p>
    <w:p w14:paraId="75F6F91B">
      <w:pPr>
        <w:pStyle w:val="4"/>
        <w:spacing w:before="0" w:after="0"/>
        <w:rPr>
          <w:rFonts w:ascii="黑体" w:hAnsi="黑体" w:eastAsia="黑体" w:cs="Times New Roman"/>
          <w:sz w:val="21"/>
          <w:szCs w:val="21"/>
        </w:rPr>
      </w:pPr>
      <w:bookmarkStart w:id="58" w:name="_Toc187827474"/>
      <w:bookmarkStart w:id="59" w:name="_Toc30783"/>
      <w:bookmarkStart w:id="60" w:name="_Toc10293"/>
      <w:bookmarkStart w:id="61" w:name="_Toc166316674"/>
      <w:r>
        <w:rPr>
          <w:rFonts w:hint="eastAsia" w:ascii="黑体" w:hAnsi="黑体" w:eastAsia="黑体" w:cs="Times New Roman"/>
          <w:b w:val="0"/>
          <w:sz w:val="21"/>
          <w:szCs w:val="21"/>
        </w:rPr>
        <w:t>6</w:t>
      </w:r>
      <w:r>
        <w:rPr>
          <w:rFonts w:ascii="黑体" w:hAnsi="黑体" w:eastAsia="黑体" w:cs="Times New Roman"/>
          <w:b w:val="0"/>
          <w:sz w:val="21"/>
          <w:szCs w:val="21"/>
        </w:rPr>
        <w:t xml:space="preserve">  </w:t>
      </w:r>
      <w:r>
        <w:rPr>
          <w:rFonts w:hint="eastAsia" w:ascii="黑体" w:hAnsi="黑体" w:eastAsia="黑体" w:cs="Times New Roman"/>
          <w:b w:val="0"/>
          <w:sz w:val="21"/>
          <w:szCs w:val="21"/>
        </w:rPr>
        <w:t>软件要求</w:t>
      </w:r>
      <w:bookmarkEnd w:id="58"/>
      <w:bookmarkEnd w:id="59"/>
      <w:bookmarkEnd w:id="60"/>
      <w:bookmarkEnd w:id="61"/>
    </w:p>
    <w:p w14:paraId="5135F299">
      <w:pPr>
        <w:pStyle w:val="5"/>
        <w:spacing w:before="0" w:after="0" w:line="360" w:lineRule="auto"/>
        <w:rPr>
          <w:rFonts w:ascii="黑体" w:hAnsi="黑体" w:eastAsia="黑体" w:cs="Times New Roman"/>
          <w:b w:val="0"/>
          <w:sz w:val="21"/>
          <w:szCs w:val="21"/>
        </w:rPr>
      </w:pPr>
      <w:bookmarkStart w:id="62" w:name="_Toc1661729"/>
      <w:bookmarkStart w:id="63" w:name="_Toc962374"/>
      <w:bookmarkStart w:id="64" w:name="_Toc25353"/>
      <w:bookmarkStart w:id="65" w:name="_Toc951473"/>
      <w:bookmarkStart w:id="66" w:name="_Toc11176"/>
      <w:bookmarkStart w:id="67" w:name="_Toc187827475"/>
      <w:bookmarkStart w:id="68" w:name="_Toc115450792"/>
      <w:bookmarkStart w:id="69" w:name="_Toc166316675"/>
      <w:r>
        <w:rPr>
          <w:rFonts w:hint="eastAsia" w:ascii="黑体" w:hAnsi="黑体" w:eastAsia="黑体" w:cs="Times New Roman"/>
          <w:b w:val="0"/>
          <w:sz w:val="21"/>
          <w:szCs w:val="21"/>
        </w:rPr>
        <w:t>6.1</w:t>
      </w:r>
      <w:r>
        <w:rPr>
          <w:rFonts w:ascii="黑体" w:hAnsi="黑体" w:eastAsia="黑体" w:cs="Times New Roman"/>
          <w:b w:val="0"/>
          <w:sz w:val="21"/>
          <w:szCs w:val="21"/>
        </w:rPr>
        <w:t xml:space="preserve">  </w:t>
      </w:r>
      <w:r>
        <w:rPr>
          <w:rFonts w:hint="eastAsia" w:ascii="黑体" w:hAnsi="黑体" w:eastAsia="黑体" w:cs="Times New Roman"/>
          <w:b w:val="0"/>
          <w:sz w:val="21"/>
          <w:szCs w:val="21"/>
        </w:rPr>
        <w:t>适应性</w:t>
      </w:r>
      <w:bookmarkEnd w:id="62"/>
      <w:bookmarkEnd w:id="63"/>
      <w:bookmarkEnd w:id="64"/>
      <w:bookmarkEnd w:id="65"/>
      <w:bookmarkEnd w:id="66"/>
      <w:bookmarkEnd w:id="67"/>
    </w:p>
    <w:p w14:paraId="0D535D26">
      <w:pPr>
        <w:pStyle w:val="35"/>
        <w:numPr>
          <w:ilvl w:val="0"/>
          <w:numId w:val="0"/>
        </w:numPr>
        <w:spacing w:line="300" w:lineRule="auto"/>
        <w:ind w:firstLine="420" w:firstLineChars="200"/>
        <w:rPr>
          <w:rFonts w:hAnsi="宋体"/>
          <w:szCs w:val="21"/>
        </w:rPr>
      </w:pPr>
      <w:r>
        <w:rPr>
          <w:rFonts w:hint="eastAsia" w:hAnsi="宋体"/>
          <w:szCs w:val="21"/>
        </w:rPr>
        <w:t>软件系统应具有良好的适应性，通过系统参数配置后可以实现对不同对象的在线监测。</w:t>
      </w:r>
    </w:p>
    <w:p w14:paraId="4B0BEB94">
      <w:pPr>
        <w:pStyle w:val="5"/>
        <w:spacing w:before="0" w:after="0" w:line="360" w:lineRule="auto"/>
        <w:rPr>
          <w:rFonts w:ascii="黑体" w:hAnsi="黑体" w:eastAsia="黑体" w:cs="Times New Roman"/>
          <w:b w:val="0"/>
          <w:sz w:val="21"/>
          <w:szCs w:val="21"/>
        </w:rPr>
      </w:pPr>
      <w:bookmarkStart w:id="70" w:name="_Toc20538"/>
      <w:bookmarkStart w:id="71" w:name="_Toc5391"/>
      <w:bookmarkStart w:id="72" w:name="_Toc187827476"/>
      <w:bookmarkStart w:id="73" w:name="_Toc1661730"/>
      <w:bookmarkStart w:id="74" w:name="_Toc951474"/>
      <w:bookmarkStart w:id="75" w:name="_Toc962375"/>
      <w:r>
        <w:rPr>
          <w:rFonts w:hint="eastAsia" w:ascii="黑体" w:hAnsi="黑体" w:eastAsia="黑体" w:cs="Times New Roman"/>
          <w:b w:val="0"/>
          <w:sz w:val="21"/>
          <w:szCs w:val="21"/>
        </w:rPr>
        <w:t>6.2  接口与显示</w:t>
      </w:r>
      <w:bookmarkEnd w:id="70"/>
      <w:bookmarkEnd w:id="71"/>
      <w:bookmarkEnd w:id="72"/>
      <w:bookmarkEnd w:id="73"/>
      <w:bookmarkEnd w:id="74"/>
      <w:bookmarkEnd w:id="75"/>
    </w:p>
    <w:p w14:paraId="376036B0">
      <w:pPr>
        <w:pStyle w:val="2"/>
        <w:spacing w:line="360" w:lineRule="auto"/>
        <w:ind w:left="0" w:leftChars="0" w:firstLine="0" w:firstLineChars="0"/>
      </w:pPr>
      <w:r>
        <w:rPr>
          <w:rFonts w:ascii="宋体" w:hAnsi="宋体"/>
          <w:kern w:val="0"/>
          <w:szCs w:val="21"/>
        </w:rPr>
        <w:t xml:space="preserve">6.2.1  </w:t>
      </w:r>
      <w:r>
        <w:rPr>
          <w:rFonts w:hint="eastAsia" w:ascii="宋体" w:hAnsi="宋体"/>
          <w:kern w:val="0"/>
          <w:szCs w:val="21"/>
        </w:rPr>
        <w:t>系统软件应配备完善的双向数据传输接口，将监测数据采集至监测控制中</w:t>
      </w:r>
      <w:r>
        <w:rPr>
          <w:rFonts w:hint="eastAsia" w:asciiTheme="minorEastAsia" w:hAnsiTheme="minorEastAsia"/>
        </w:rPr>
        <w:t>心，确保</w:t>
      </w:r>
      <w:r>
        <w:rPr>
          <w:rFonts w:hint="eastAsia" w:asciiTheme="minorEastAsia" w:hAnsiTheme="minorEastAsia"/>
          <w:kern w:val="0"/>
          <w:szCs w:val="21"/>
        </w:rPr>
        <w:t>监控系统</w:t>
      </w:r>
      <w:r>
        <w:rPr>
          <w:rFonts w:hint="eastAsia" w:asciiTheme="minorEastAsia" w:hAnsiTheme="minorEastAsia"/>
        </w:rPr>
        <w:t>对异常状况的实时监测。</w:t>
      </w:r>
    </w:p>
    <w:p w14:paraId="4BB1F521">
      <w:pPr>
        <w:spacing w:line="360" w:lineRule="auto"/>
        <w:rPr>
          <w:rFonts w:ascii="等线" w:hAnsi="等线" w:cs="宋体"/>
          <w:szCs w:val="21"/>
        </w:rPr>
      </w:pPr>
      <w:r>
        <w:rPr>
          <w:rFonts w:hint="eastAsia" w:cs="Times New Roman" w:asciiTheme="minorEastAsia" w:hAnsiTheme="minorEastAsia"/>
          <w:kern w:val="0"/>
          <w:szCs w:val="21"/>
        </w:rPr>
        <w:t>6.2.2  使用过程中，系统软件应可以通过图形、图表等可视化的形式实时、动态地显示现场</w:t>
      </w:r>
      <w:r>
        <w:rPr>
          <w:rFonts w:hint="eastAsia" w:ascii="等线" w:hAnsi="等线" w:cs="宋体"/>
          <w:szCs w:val="21"/>
        </w:rPr>
        <w:t>的工作状态、报警信息以及各项参数指标。</w:t>
      </w:r>
    </w:p>
    <w:p w14:paraId="74AD9FF5">
      <w:pPr>
        <w:pStyle w:val="5"/>
        <w:spacing w:before="0" w:after="0" w:line="360" w:lineRule="auto"/>
        <w:rPr>
          <w:rFonts w:ascii="黑体" w:hAnsi="黑体" w:eastAsia="黑体" w:cs="Times New Roman"/>
          <w:b w:val="0"/>
          <w:sz w:val="21"/>
          <w:szCs w:val="21"/>
        </w:rPr>
      </w:pPr>
      <w:bookmarkStart w:id="76" w:name="_Toc962376"/>
      <w:bookmarkStart w:id="77" w:name="_Toc187827477"/>
      <w:bookmarkStart w:id="78" w:name="_Toc951475"/>
      <w:bookmarkStart w:id="79" w:name="_Toc1661731"/>
      <w:bookmarkStart w:id="80" w:name="_Toc27143"/>
      <w:bookmarkStart w:id="81" w:name="_Toc20366"/>
      <w:r>
        <w:rPr>
          <w:rFonts w:hint="eastAsia" w:ascii="黑体" w:hAnsi="黑体" w:eastAsia="黑体" w:cs="Times New Roman"/>
          <w:b w:val="0"/>
          <w:sz w:val="21"/>
          <w:szCs w:val="21"/>
        </w:rPr>
        <w:t>6.3  自诊断</w:t>
      </w:r>
      <w:bookmarkEnd w:id="76"/>
      <w:bookmarkEnd w:id="77"/>
      <w:bookmarkEnd w:id="78"/>
      <w:bookmarkEnd w:id="79"/>
      <w:bookmarkEnd w:id="80"/>
      <w:bookmarkEnd w:id="81"/>
    </w:p>
    <w:p w14:paraId="17841CEC">
      <w:pPr>
        <w:pStyle w:val="20"/>
        <w:spacing w:line="360" w:lineRule="auto"/>
        <w:rPr>
          <w:rFonts w:ascii="等线" w:hAnsi="等线"/>
          <w:szCs w:val="21"/>
        </w:rPr>
      </w:pPr>
      <w:r>
        <w:rPr>
          <w:rFonts w:hint="eastAsia" w:ascii="等线" w:hAnsi="等线"/>
          <w:szCs w:val="21"/>
        </w:rPr>
        <w:t>系统软件宜具备监测自诊断功能</w:t>
      </w:r>
      <w:r>
        <w:rPr>
          <w:rFonts w:ascii="等线" w:hAnsi="等线"/>
          <w:szCs w:val="21"/>
        </w:rPr>
        <w:t>(</w:t>
      </w:r>
      <w:r>
        <w:rPr>
          <w:rFonts w:hint="eastAsia" w:ascii="等线" w:hAnsi="等线"/>
          <w:szCs w:val="21"/>
        </w:rPr>
        <w:t>传感器故障报警、通讯故障报警、断电记录等），并可以记录有效数据个数。</w:t>
      </w:r>
    </w:p>
    <w:p w14:paraId="70A16BE5">
      <w:pPr>
        <w:pStyle w:val="5"/>
        <w:spacing w:before="0" w:after="0" w:line="360" w:lineRule="auto"/>
        <w:rPr>
          <w:rFonts w:ascii="黑体" w:hAnsi="黑体" w:eastAsia="黑体" w:cs="Times New Roman"/>
          <w:b w:val="0"/>
          <w:sz w:val="21"/>
          <w:szCs w:val="21"/>
        </w:rPr>
      </w:pPr>
      <w:bookmarkStart w:id="82" w:name="_Toc951476"/>
      <w:bookmarkStart w:id="83" w:name="_Toc1661732"/>
      <w:bookmarkStart w:id="84" w:name="_Toc12237"/>
      <w:bookmarkStart w:id="85" w:name="_Toc962377"/>
      <w:bookmarkStart w:id="86" w:name="_Toc6981"/>
      <w:bookmarkStart w:id="87" w:name="_Toc187827478"/>
      <w:r>
        <w:rPr>
          <w:rFonts w:hint="eastAsia" w:ascii="黑体" w:hAnsi="黑体" w:eastAsia="黑体" w:cs="Times New Roman"/>
          <w:b w:val="0"/>
          <w:sz w:val="21"/>
          <w:szCs w:val="21"/>
        </w:rPr>
        <w:t>6.4  信息安全</w:t>
      </w:r>
      <w:bookmarkEnd w:id="82"/>
      <w:bookmarkEnd w:id="83"/>
      <w:bookmarkEnd w:id="84"/>
      <w:bookmarkEnd w:id="85"/>
      <w:bookmarkEnd w:id="86"/>
      <w:bookmarkEnd w:id="87"/>
    </w:p>
    <w:p w14:paraId="5D352C00">
      <w:pPr>
        <w:spacing w:line="360" w:lineRule="auto"/>
        <w:rPr>
          <w:rFonts w:cs="Times New Roman" w:asciiTheme="minorEastAsia" w:hAnsiTheme="minorEastAsia"/>
          <w:kern w:val="0"/>
          <w:szCs w:val="21"/>
        </w:rPr>
      </w:pPr>
      <w:r>
        <w:rPr>
          <w:rFonts w:hint="eastAsia" w:cs="Times New Roman" w:asciiTheme="minorEastAsia" w:hAnsiTheme="minorEastAsia"/>
          <w:kern w:val="0"/>
          <w:szCs w:val="21"/>
        </w:rPr>
        <w:t>6.4</w:t>
      </w:r>
      <w:r>
        <w:rPr>
          <w:rFonts w:cs="Times New Roman" w:asciiTheme="minorEastAsia" w:hAnsiTheme="minorEastAsia"/>
          <w:kern w:val="0"/>
          <w:szCs w:val="21"/>
        </w:rPr>
        <w:t xml:space="preserve">.1  </w:t>
      </w:r>
      <w:r>
        <w:rPr>
          <w:rFonts w:hint="eastAsia" w:cs="Times New Roman" w:asciiTheme="minorEastAsia" w:hAnsiTheme="minorEastAsia"/>
          <w:kern w:val="0"/>
          <w:szCs w:val="21"/>
        </w:rPr>
        <w:t>系统应具备安全管理功能且系统操作管理权限不少于</w:t>
      </w:r>
      <w:r>
        <w:rPr>
          <w:rFonts w:cs="Times New Roman" w:asciiTheme="minorEastAsia" w:hAnsiTheme="minorEastAsia"/>
          <w:kern w:val="0"/>
          <w:szCs w:val="21"/>
        </w:rPr>
        <w:t>3</w:t>
      </w:r>
      <w:r>
        <w:rPr>
          <w:rFonts w:hint="eastAsia" w:cs="Times New Roman" w:asciiTheme="minorEastAsia" w:hAnsiTheme="minorEastAsia"/>
          <w:kern w:val="0"/>
          <w:szCs w:val="21"/>
        </w:rPr>
        <w:t>个。操作人员登录系统前应通过用户名密码认证。系统应具有记录功能，所有操作记录均应录入数据库。</w:t>
      </w:r>
    </w:p>
    <w:p w14:paraId="6F1035BF">
      <w:pPr>
        <w:spacing w:line="360" w:lineRule="auto"/>
        <w:rPr>
          <w:rFonts w:cs="Times New Roman" w:asciiTheme="minorEastAsia" w:hAnsiTheme="minorEastAsia"/>
          <w:kern w:val="0"/>
          <w:szCs w:val="21"/>
        </w:rPr>
      </w:pPr>
      <w:r>
        <w:rPr>
          <w:rFonts w:hint="eastAsia" w:cs="Times New Roman" w:asciiTheme="minorEastAsia" w:hAnsiTheme="minorEastAsia"/>
          <w:kern w:val="0"/>
          <w:szCs w:val="21"/>
        </w:rPr>
        <w:t>6.4</w:t>
      </w:r>
      <w:r>
        <w:rPr>
          <w:rFonts w:cs="Times New Roman" w:asciiTheme="minorEastAsia" w:hAnsiTheme="minorEastAsia"/>
          <w:kern w:val="0"/>
          <w:szCs w:val="21"/>
        </w:rPr>
        <w:t xml:space="preserve">.2  </w:t>
      </w:r>
      <w:r>
        <w:rPr>
          <w:rFonts w:hint="eastAsia" w:cs="Times New Roman" w:asciiTheme="minorEastAsia" w:hAnsiTheme="minorEastAsia"/>
          <w:kern w:val="0"/>
          <w:szCs w:val="21"/>
        </w:rPr>
        <w:t>系统宜依据国家信息安全等级保护制度相关要求，进行系统定级后报所在地公安部门备案，并同步规划、设计安全防护建设方案。在项目实施过程中，应依据所定等保级别同步建设安全防护措施。</w:t>
      </w:r>
    </w:p>
    <w:p w14:paraId="0CD6CA0C">
      <w:pPr>
        <w:spacing w:line="360" w:lineRule="auto"/>
        <w:rPr>
          <w:rFonts w:cs="Times New Roman" w:asciiTheme="minorEastAsia" w:hAnsiTheme="minorEastAsia"/>
          <w:kern w:val="0"/>
          <w:szCs w:val="21"/>
        </w:rPr>
      </w:pPr>
      <w:r>
        <w:rPr>
          <w:rFonts w:hint="eastAsia" w:cs="Times New Roman" w:asciiTheme="minorEastAsia" w:hAnsiTheme="minorEastAsia"/>
          <w:kern w:val="0"/>
          <w:szCs w:val="21"/>
        </w:rPr>
        <w:t>6.4</w:t>
      </w:r>
      <w:r>
        <w:rPr>
          <w:rFonts w:cs="Times New Roman" w:asciiTheme="minorEastAsia" w:hAnsiTheme="minorEastAsia"/>
          <w:kern w:val="0"/>
          <w:szCs w:val="21"/>
        </w:rPr>
        <w:t xml:space="preserve">.3  </w:t>
      </w:r>
      <w:r>
        <w:rPr>
          <w:rFonts w:hint="eastAsia" w:cs="Times New Roman" w:asciiTheme="minorEastAsia" w:hAnsiTheme="minorEastAsia"/>
          <w:kern w:val="0"/>
          <w:szCs w:val="21"/>
        </w:rPr>
        <w:t>系统上线前宜查验软件安全性测试报告，部署在互联网应用的软件上线前还要查验由第三方专业机构出具的应用软件安全性测试报告。</w:t>
      </w:r>
    </w:p>
    <w:p w14:paraId="738DB943">
      <w:pPr>
        <w:spacing w:line="360" w:lineRule="auto"/>
        <w:rPr>
          <w:rFonts w:ascii="等线" w:hAnsi="等线"/>
          <w:szCs w:val="21"/>
        </w:rPr>
      </w:pPr>
      <w:r>
        <w:rPr>
          <w:rFonts w:hint="eastAsia" w:cs="Times New Roman" w:asciiTheme="minorEastAsia" w:hAnsiTheme="minorEastAsia"/>
          <w:kern w:val="0"/>
          <w:szCs w:val="21"/>
        </w:rPr>
        <w:t>6.4</w:t>
      </w:r>
      <w:r>
        <w:rPr>
          <w:rFonts w:cs="Times New Roman" w:asciiTheme="minorEastAsia" w:hAnsiTheme="minorEastAsia"/>
          <w:kern w:val="0"/>
          <w:szCs w:val="21"/>
        </w:rPr>
        <w:t xml:space="preserve">.4  </w:t>
      </w:r>
      <w:r>
        <w:rPr>
          <w:rFonts w:hint="eastAsia" w:cs="Times New Roman" w:asciiTheme="minorEastAsia" w:hAnsiTheme="minorEastAsia"/>
          <w:kern w:val="0"/>
          <w:szCs w:val="21"/>
        </w:rPr>
        <w:t>软件的后台</w:t>
      </w:r>
      <w:r>
        <w:rPr>
          <w:rFonts w:hint="eastAsia" w:ascii="等线" w:hAnsi="等线"/>
          <w:szCs w:val="21"/>
        </w:rPr>
        <w:t>管理与前台应分开，后台管理应通过安全认证后才能进行远程操作。</w:t>
      </w:r>
      <w:r>
        <w:rPr>
          <w:rFonts w:ascii="等线" w:hAnsi="等线"/>
          <w:szCs w:val="21"/>
        </w:rPr>
        <w:t xml:space="preserve"> </w:t>
      </w:r>
    </w:p>
    <w:p w14:paraId="46D89959">
      <w:pPr>
        <w:pStyle w:val="5"/>
        <w:spacing w:before="0" w:after="0" w:line="360" w:lineRule="auto"/>
        <w:rPr>
          <w:rFonts w:ascii="黑体" w:hAnsi="黑体" w:eastAsia="黑体" w:cs="Times New Roman"/>
          <w:b w:val="0"/>
          <w:sz w:val="21"/>
          <w:szCs w:val="21"/>
        </w:rPr>
      </w:pPr>
      <w:bookmarkStart w:id="88" w:name="_Toc1661733"/>
      <w:bookmarkStart w:id="89" w:name="_Toc962378"/>
      <w:bookmarkStart w:id="90" w:name="_Toc951477"/>
      <w:bookmarkStart w:id="91" w:name="_Toc3084"/>
      <w:bookmarkStart w:id="92" w:name="_Toc7053"/>
      <w:bookmarkStart w:id="93" w:name="_Toc187827479"/>
      <w:r>
        <w:rPr>
          <w:rFonts w:hint="eastAsia" w:ascii="黑体" w:hAnsi="黑体" w:eastAsia="黑体" w:cs="Times New Roman"/>
          <w:b w:val="0"/>
          <w:sz w:val="21"/>
          <w:szCs w:val="21"/>
        </w:rPr>
        <w:t>6.5  数据处理与检索</w:t>
      </w:r>
      <w:bookmarkEnd w:id="88"/>
      <w:bookmarkEnd w:id="89"/>
      <w:bookmarkEnd w:id="90"/>
      <w:bookmarkEnd w:id="91"/>
      <w:bookmarkEnd w:id="92"/>
      <w:bookmarkEnd w:id="93"/>
    </w:p>
    <w:p w14:paraId="0CE96003">
      <w:pPr>
        <w:spacing w:line="360" w:lineRule="auto"/>
        <w:rPr>
          <w:rFonts w:ascii="等线" w:hAnsi="等线"/>
          <w:szCs w:val="21"/>
        </w:rPr>
      </w:pPr>
      <w:r>
        <w:rPr>
          <w:rFonts w:cs="Times New Roman" w:asciiTheme="minorEastAsia" w:hAnsiTheme="minorEastAsia"/>
          <w:kern w:val="0"/>
          <w:szCs w:val="21"/>
        </w:rPr>
        <w:t xml:space="preserve">6.5.1 </w:t>
      </w:r>
      <w:r>
        <w:rPr>
          <w:rFonts w:hint="eastAsia" w:ascii="等线" w:hAnsi="等线"/>
          <w:szCs w:val="21"/>
        </w:rPr>
        <w:t xml:space="preserve"> 系统应具备数据存储功能以及报表生成功能。可存储</w:t>
      </w:r>
      <w:r>
        <w:rPr>
          <w:rFonts w:ascii="等线" w:hAnsi="等线"/>
          <w:szCs w:val="21"/>
        </w:rPr>
        <w:t>1</w:t>
      </w:r>
      <w:r>
        <w:rPr>
          <w:rFonts w:hint="eastAsia" w:ascii="等线" w:hAnsi="等线"/>
          <w:szCs w:val="21"/>
        </w:rPr>
        <w:t>年以上原始观测数据、记录测定数据以及仪器运行状态，并自动生成系统运行参数报告、数据报告、掉电记录报告、操作记录报告。</w:t>
      </w:r>
    </w:p>
    <w:p w14:paraId="4737F08B">
      <w:pPr>
        <w:spacing w:line="360" w:lineRule="auto"/>
        <w:rPr>
          <w:rFonts w:ascii="等线" w:hAnsi="等线"/>
          <w:szCs w:val="21"/>
        </w:rPr>
      </w:pPr>
      <w:r>
        <w:rPr>
          <w:rFonts w:hint="eastAsia" w:cs="Times New Roman" w:asciiTheme="minorEastAsia" w:hAnsiTheme="minorEastAsia"/>
          <w:kern w:val="0"/>
          <w:szCs w:val="21"/>
        </w:rPr>
        <w:t>6.5.2</w:t>
      </w:r>
      <w:r>
        <w:rPr>
          <w:rFonts w:hint="eastAsia" w:ascii="等线" w:hAnsi="等线" w:cs="宋体"/>
          <w:szCs w:val="21"/>
        </w:rPr>
        <w:t xml:space="preserve">  测定数据</w:t>
      </w:r>
      <w:r>
        <w:rPr>
          <w:rFonts w:hint="eastAsia" w:ascii="等线" w:hAnsi="等线"/>
          <w:szCs w:val="21"/>
        </w:rPr>
        <w:t>和</w:t>
      </w:r>
      <w:r>
        <w:rPr>
          <w:rFonts w:hint="eastAsia" w:ascii="等线" w:hAnsi="等线" w:cs="宋体"/>
          <w:szCs w:val="21"/>
        </w:rPr>
        <w:t>仪器运行状态数据：</w:t>
      </w:r>
    </w:p>
    <w:p w14:paraId="1E40DF76">
      <w:pPr>
        <w:pStyle w:val="51"/>
        <w:numPr>
          <w:ilvl w:val="0"/>
          <w:numId w:val="8"/>
        </w:numPr>
        <w:spacing w:line="360" w:lineRule="auto"/>
      </w:pPr>
      <w:r>
        <w:rPr>
          <w:rFonts w:hint="eastAsia"/>
        </w:rPr>
        <w:t>记录并统计有效数据个数；</w:t>
      </w:r>
    </w:p>
    <w:p w14:paraId="4285E187">
      <w:pPr>
        <w:pStyle w:val="51"/>
        <w:numPr>
          <w:ilvl w:val="0"/>
          <w:numId w:val="8"/>
        </w:numPr>
        <w:spacing w:line="360" w:lineRule="auto"/>
      </w:pPr>
      <w:r>
        <w:rPr>
          <w:rFonts w:hint="eastAsia"/>
        </w:rPr>
        <w:t>记录电源故障情况；</w:t>
      </w:r>
    </w:p>
    <w:p w14:paraId="531208D8">
      <w:pPr>
        <w:pStyle w:val="51"/>
        <w:numPr>
          <w:ilvl w:val="0"/>
          <w:numId w:val="8"/>
        </w:numPr>
        <w:spacing w:line="360" w:lineRule="auto"/>
      </w:pPr>
      <w:r>
        <w:rPr>
          <w:rFonts w:hint="eastAsia"/>
        </w:rPr>
        <w:t>记录仪器操作和维护情况；</w:t>
      </w:r>
    </w:p>
    <w:p w14:paraId="642AF4C0">
      <w:pPr>
        <w:pStyle w:val="51"/>
        <w:numPr>
          <w:ilvl w:val="0"/>
          <w:numId w:val="8"/>
        </w:numPr>
        <w:spacing w:line="360" w:lineRule="auto"/>
      </w:pPr>
      <w:r>
        <w:rPr>
          <w:rFonts w:hint="eastAsia"/>
        </w:rPr>
        <w:t>记录仪器故障情况。</w:t>
      </w:r>
    </w:p>
    <w:p w14:paraId="7C808A8B">
      <w:pPr>
        <w:pStyle w:val="20"/>
        <w:spacing w:line="360" w:lineRule="auto"/>
        <w:ind w:firstLine="0" w:firstLineChars="0"/>
        <w:rPr>
          <w:rFonts w:ascii="等线" w:hAnsi="等线"/>
          <w:szCs w:val="21"/>
        </w:rPr>
      </w:pPr>
      <w:r>
        <w:rPr>
          <w:rFonts w:hint="eastAsia" w:cs="Times New Roman" w:asciiTheme="minorEastAsia" w:hAnsiTheme="minorEastAsia"/>
          <w:kern w:val="0"/>
          <w:szCs w:val="21"/>
        </w:rPr>
        <w:t>6.5.3</w:t>
      </w:r>
      <w:r>
        <w:rPr>
          <w:rFonts w:hint="eastAsia" w:ascii="等线" w:hAnsi="等线"/>
          <w:szCs w:val="21"/>
        </w:rPr>
        <w:t xml:space="preserve">  系统应具备自启动功能，当仪器由于受外界强干扰、掉电后又上电等突发情况造成程序中断，系统可自动启动，恢复运行状态并记录故障时间以及恢复运行时间。</w:t>
      </w:r>
    </w:p>
    <w:p w14:paraId="02901BB9">
      <w:pPr>
        <w:pStyle w:val="20"/>
        <w:spacing w:line="360" w:lineRule="auto"/>
        <w:ind w:firstLine="0" w:firstLineChars="0"/>
        <w:rPr>
          <w:rFonts w:ascii="等线" w:hAnsi="等线"/>
          <w:szCs w:val="21"/>
        </w:rPr>
      </w:pPr>
      <w:r>
        <w:rPr>
          <w:rFonts w:hint="eastAsia" w:cs="Times New Roman" w:asciiTheme="minorEastAsia" w:hAnsiTheme="minorEastAsia"/>
          <w:kern w:val="0"/>
          <w:szCs w:val="21"/>
        </w:rPr>
        <w:t>6.5.4</w:t>
      </w:r>
      <w:r>
        <w:rPr>
          <w:rFonts w:hint="eastAsia" w:ascii="等线" w:hAnsi="等线"/>
          <w:szCs w:val="21"/>
        </w:rPr>
        <w:t xml:space="preserve">  系统应对操作过程具备自记录功能，记录内容包括系统各项参数的设置、修改，并可随时查看调用。</w:t>
      </w:r>
    </w:p>
    <w:p w14:paraId="075345F0">
      <w:pPr>
        <w:pStyle w:val="20"/>
        <w:spacing w:line="360" w:lineRule="auto"/>
        <w:ind w:firstLine="0" w:firstLineChars="0"/>
        <w:rPr>
          <w:rFonts w:ascii="等线" w:hAnsi="等线"/>
          <w:szCs w:val="21"/>
        </w:rPr>
      </w:pPr>
      <w:r>
        <w:rPr>
          <w:rFonts w:hint="eastAsia" w:cs="Times New Roman" w:asciiTheme="minorEastAsia" w:hAnsiTheme="minorEastAsia"/>
          <w:kern w:val="0"/>
          <w:szCs w:val="21"/>
        </w:rPr>
        <w:t>6.5.5</w:t>
      </w:r>
      <w:r>
        <w:rPr>
          <w:rFonts w:hint="eastAsia" w:ascii="等线" w:hAnsi="等线"/>
          <w:szCs w:val="21"/>
        </w:rPr>
        <w:t xml:space="preserve">  系统具备数据检索检查功能，通过设置检索时间对历史数据进行检索，生成数据统计报表以及曲线分析图，并根据需求设置自动生成日报、月报、年报。</w:t>
      </w:r>
    </w:p>
    <w:p w14:paraId="334F395A">
      <w:pPr>
        <w:pStyle w:val="5"/>
        <w:spacing w:before="0" w:after="0" w:line="360" w:lineRule="auto"/>
        <w:rPr>
          <w:rFonts w:ascii="黑体" w:hAnsi="黑体" w:eastAsia="黑体" w:cs="Times New Roman"/>
          <w:b w:val="0"/>
          <w:sz w:val="21"/>
          <w:szCs w:val="21"/>
        </w:rPr>
      </w:pPr>
      <w:bookmarkStart w:id="94" w:name="_Toc962380"/>
      <w:bookmarkStart w:id="95" w:name="_Toc16323"/>
      <w:bookmarkStart w:id="96" w:name="_Toc187827480"/>
      <w:bookmarkStart w:id="97" w:name="_Toc1661735"/>
      <w:bookmarkStart w:id="98" w:name="_Toc951479"/>
      <w:bookmarkStart w:id="99" w:name="_Toc27365"/>
      <w:r>
        <w:rPr>
          <w:rFonts w:hint="eastAsia" w:ascii="黑体" w:hAnsi="黑体" w:eastAsia="黑体" w:cs="Times New Roman"/>
          <w:b w:val="0"/>
          <w:sz w:val="21"/>
          <w:szCs w:val="21"/>
        </w:rPr>
        <w:t>6.6  测站信息管理</w:t>
      </w:r>
      <w:bookmarkEnd w:id="94"/>
      <w:bookmarkEnd w:id="95"/>
      <w:bookmarkEnd w:id="96"/>
      <w:bookmarkEnd w:id="97"/>
      <w:bookmarkEnd w:id="98"/>
      <w:bookmarkEnd w:id="99"/>
    </w:p>
    <w:p w14:paraId="5784ABA0">
      <w:pPr>
        <w:pStyle w:val="20"/>
        <w:spacing w:line="360" w:lineRule="auto"/>
        <w:ind w:firstLine="0" w:firstLineChars="0"/>
        <w:rPr>
          <w:rFonts w:ascii="宋体" w:hAnsi="宋体"/>
          <w:szCs w:val="21"/>
        </w:rPr>
      </w:pPr>
      <w:r>
        <w:rPr>
          <w:rFonts w:hint="eastAsia" w:ascii="宋体" w:hAnsi="宋体"/>
          <w:szCs w:val="21"/>
        </w:rPr>
        <w:t>6.6.1  测站</w:t>
      </w:r>
      <w:r>
        <w:rPr>
          <w:rFonts w:hint="eastAsia" w:ascii="等线" w:hAnsi="等线"/>
          <w:szCs w:val="21"/>
        </w:rPr>
        <w:t>信息管理</w:t>
      </w:r>
      <w:r>
        <w:rPr>
          <w:rFonts w:hint="eastAsia" w:ascii="宋体" w:hAnsi="宋体"/>
          <w:szCs w:val="21"/>
        </w:rPr>
        <w:t>功能应能通过可视化操作界面对测站进行远程配置（增加</w:t>
      </w:r>
      <w:r>
        <w:rPr>
          <w:rFonts w:ascii="宋体" w:hAnsi="宋体"/>
          <w:szCs w:val="21"/>
        </w:rPr>
        <w:t>/</w:t>
      </w:r>
      <w:r>
        <w:rPr>
          <w:rFonts w:hint="eastAsia" w:ascii="宋体" w:hAnsi="宋体"/>
          <w:szCs w:val="21"/>
        </w:rPr>
        <w:t>删除站点，配置</w:t>
      </w:r>
      <w:r>
        <w:rPr>
          <w:rFonts w:ascii="宋体" w:hAnsi="宋体"/>
          <w:szCs w:val="21"/>
        </w:rPr>
        <w:t>/</w:t>
      </w:r>
      <w:r>
        <w:rPr>
          <w:rFonts w:hint="eastAsia" w:ascii="宋体" w:hAnsi="宋体"/>
          <w:szCs w:val="21"/>
        </w:rPr>
        <w:t>修改基准站信息等），并实现对测站接收机的远程管理。</w:t>
      </w:r>
    </w:p>
    <w:p w14:paraId="670C4FA4">
      <w:pPr>
        <w:pStyle w:val="20"/>
        <w:spacing w:line="360" w:lineRule="auto"/>
        <w:ind w:firstLine="0" w:firstLineChars="0"/>
        <w:rPr>
          <w:rFonts w:ascii="宋体" w:hAnsi="宋体"/>
          <w:szCs w:val="21"/>
        </w:rPr>
      </w:pPr>
      <w:r>
        <w:rPr>
          <w:rFonts w:hint="eastAsia" w:ascii="宋体" w:hAnsi="宋体"/>
          <w:szCs w:val="21"/>
        </w:rPr>
        <w:t>6.6.2  测站信息管理功能应包括测站管理、接收机管理、接受机设备工作的状态管理、观测数据查询等。</w:t>
      </w:r>
    </w:p>
    <w:p w14:paraId="7929616E">
      <w:pPr>
        <w:pStyle w:val="5"/>
        <w:spacing w:before="0" w:after="0" w:line="360" w:lineRule="auto"/>
        <w:rPr>
          <w:rFonts w:ascii="黑体" w:hAnsi="黑体" w:eastAsia="黑体" w:cs="Times New Roman"/>
          <w:b w:val="0"/>
          <w:sz w:val="21"/>
          <w:szCs w:val="21"/>
        </w:rPr>
      </w:pPr>
      <w:bookmarkStart w:id="100" w:name="_Toc962381"/>
      <w:bookmarkStart w:id="101" w:name="_Toc1661736"/>
      <w:bookmarkStart w:id="102" w:name="_Toc13810"/>
      <w:bookmarkStart w:id="103" w:name="_Toc951480"/>
      <w:bookmarkStart w:id="104" w:name="_Toc187827481"/>
      <w:bookmarkStart w:id="105" w:name="_Toc16057"/>
      <w:r>
        <w:rPr>
          <w:rFonts w:hint="eastAsia" w:ascii="黑体" w:hAnsi="黑体" w:eastAsia="黑体" w:cs="Times New Roman"/>
          <w:b w:val="0"/>
          <w:sz w:val="21"/>
          <w:szCs w:val="21"/>
        </w:rPr>
        <w:t>6.7  监测数据分析查询</w:t>
      </w:r>
      <w:bookmarkEnd w:id="100"/>
      <w:bookmarkEnd w:id="101"/>
      <w:bookmarkEnd w:id="102"/>
      <w:bookmarkEnd w:id="103"/>
      <w:bookmarkEnd w:id="104"/>
      <w:bookmarkEnd w:id="105"/>
    </w:p>
    <w:p w14:paraId="11D83CD0">
      <w:pPr>
        <w:pStyle w:val="20"/>
        <w:spacing w:line="360" w:lineRule="auto"/>
        <w:rPr>
          <w:rFonts w:ascii="宋体" w:hAnsi="宋体"/>
          <w:szCs w:val="21"/>
        </w:rPr>
      </w:pPr>
      <w:r>
        <w:rPr>
          <w:rFonts w:hint="eastAsia" w:ascii="宋体" w:hAnsi="宋体"/>
          <w:szCs w:val="21"/>
        </w:rPr>
        <w:t>系统应当支持基于监测布置图的变形观测点实时、历史数据查询，同时具备设备管理状态查询、卫星信号质量分析、监测数据异常分析等功能。</w:t>
      </w:r>
    </w:p>
    <w:bookmarkEnd w:id="68"/>
    <w:bookmarkEnd w:id="69"/>
    <w:p w14:paraId="3F33EB93">
      <w:pPr>
        <w:pStyle w:val="4"/>
        <w:numPr>
          <w:ilvl w:val="0"/>
          <w:numId w:val="9"/>
        </w:numPr>
        <w:spacing w:before="0" w:after="0"/>
        <w:rPr>
          <w:rFonts w:ascii="黑体" w:hAnsi="黑体" w:eastAsia="黑体" w:cs="Times New Roman"/>
          <w:b w:val="0"/>
          <w:sz w:val="21"/>
          <w:szCs w:val="21"/>
        </w:rPr>
      </w:pPr>
      <w:bookmarkStart w:id="106" w:name="_Toc166316677"/>
      <w:bookmarkStart w:id="107" w:name="_Toc9807"/>
      <w:bookmarkStart w:id="108" w:name="_Toc8030"/>
      <w:bookmarkStart w:id="109" w:name="_Toc187827482"/>
      <w:bookmarkStart w:id="110" w:name="_Toc54236438"/>
      <w:r>
        <w:rPr>
          <w:rFonts w:hint="eastAsia" w:ascii="黑体" w:hAnsi="黑体" w:eastAsia="黑体" w:cs="Times New Roman"/>
          <w:b w:val="0"/>
          <w:sz w:val="21"/>
          <w:szCs w:val="21"/>
        </w:rPr>
        <w:t>安装调试</w:t>
      </w:r>
      <w:bookmarkEnd w:id="106"/>
      <w:bookmarkEnd w:id="107"/>
      <w:bookmarkEnd w:id="108"/>
      <w:bookmarkEnd w:id="109"/>
    </w:p>
    <w:p w14:paraId="477F8437">
      <w:pPr>
        <w:pStyle w:val="5"/>
        <w:spacing w:before="0" w:after="0" w:line="360" w:lineRule="auto"/>
        <w:rPr>
          <w:rFonts w:ascii="黑体" w:hAnsi="黑体" w:eastAsia="黑体" w:cs="Times New Roman"/>
          <w:b w:val="0"/>
          <w:sz w:val="21"/>
          <w:szCs w:val="21"/>
        </w:rPr>
      </w:pPr>
      <w:bookmarkStart w:id="111" w:name="_Toc25055"/>
      <w:bookmarkStart w:id="112" w:name="_Toc187827483"/>
      <w:bookmarkStart w:id="113" w:name="_Toc962367"/>
      <w:bookmarkStart w:id="114" w:name="_Toc1661722"/>
      <w:bookmarkStart w:id="115" w:name="_Toc27079"/>
      <w:bookmarkStart w:id="116" w:name="_Toc951466"/>
      <w:bookmarkStart w:id="117" w:name="_Toc166316678"/>
      <w:r>
        <w:rPr>
          <w:rFonts w:hint="eastAsia" w:ascii="黑体" w:hAnsi="黑体" w:eastAsia="黑体" w:cs="Times New Roman"/>
          <w:b w:val="0"/>
          <w:sz w:val="21"/>
          <w:szCs w:val="21"/>
        </w:rPr>
        <w:t>7.1  仪器</w:t>
      </w:r>
      <w:r>
        <w:rPr>
          <w:rFonts w:ascii="黑体" w:hAnsi="黑体" w:eastAsia="黑体" w:cs="Times New Roman"/>
          <w:b w:val="0"/>
          <w:sz w:val="21"/>
          <w:szCs w:val="21"/>
        </w:rPr>
        <w:t>检验</w:t>
      </w:r>
      <w:bookmarkEnd w:id="111"/>
      <w:bookmarkEnd w:id="112"/>
      <w:bookmarkEnd w:id="113"/>
      <w:bookmarkEnd w:id="114"/>
      <w:bookmarkEnd w:id="115"/>
      <w:bookmarkEnd w:id="116"/>
    </w:p>
    <w:p w14:paraId="2D199296">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 xml:space="preserve">.1.1  </w:t>
      </w:r>
      <w:r>
        <w:rPr>
          <w:rFonts w:hint="eastAsia" w:asciiTheme="minorEastAsia" w:hAnsiTheme="minorEastAsia" w:eastAsiaTheme="minorEastAsia"/>
        </w:rPr>
        <w:t>监测设备出厂前应经过专业检测、检定，检测合格方能使用。</w:t>
      </w:r>
      <w:r>
        <w:rPr>
          <w:rFonts w:asciiTheme="minorEastAsia" w:hAnsiTheme="minorEastAsia" w:eastAsiaTheme="minorEastAsia"/>
        </w:rPr>
        <w:t>系统在应用前，应对系统性能和定位精度进行校验。</w:t>
      </w:r>
    </w:p>
    <w:p w14:paraId="43EE0E4C">
      <w:pPr>
        <w:widowControl/>
        <w:spacing w:line="300" w:lineRule="auto"/>
        <w:jc w:val="left"/>
        <w:rPr>
          <w:rFonts w:cs="Times New Roman" w:asciiTheme="minorEastAsia" w:hAnsiTheme="minorEastAsia"/>
        </w:rPr>
      </w:pPr>
      <w:r>
        <w:rPr>
          <w:rFonts w:hint="eastAsia" w:cs="Times New Roman" w:asciiTheme="minorEastAsia" w:hAnsiTheme="minorEastAsia"/>
        </w:rPr>
        <w:t>7</w:t>
      </w:r>
      <w:r>
        <w:rPr>
          <w:rFonts w:cs="Times New Roman" w:asciiTheme="minorEastAsia" w:hAnsiTheme="minorEastAsia"/>
        </w:rPr>
        <w:t>.1.2  检验的设备应处于静止状态，周围应无遮挡、无电磁干扰。</w:t>
      </w:r>
      <w:r>
        <w:rPr>
          <w:rFonts w:hint="eastAsia" w:cs="Times New Roman" w:asciiTheme="minorEastAsia" w:hAnsiTheme="minorEastAsia"/>
        </w:rPr>
        <w:t>监测装置外观应整洁，无污渍。各组件应结合紧密，无破损，无缺件。</w:t>
      </w:r>
    </w:p>
    <w:p w14:paraId="5433D63A">
      <w:pPr>
        <w:widowControl/>
        <w:spacing w:line="300" w:lineRule="auto"/>
        <w:jc w:val="left"/>
        <w:rPr>
          <w:rFonts w:cs="Times New Roman" w:asciiTheme="minorEastAsia" w:hAnsiTheme="minorEastAsia"/>
        </w:rPr>
      </w:pPr>
      <w:r>
        <w:rPr>
          <w:rFonts w:hint="eastAsia" w:cs="Times New Roman" w:asciiTheme="minorEastAsia" w:hAnsiTheme="minorEastAsia"/>
        </w:rPr>
        <w:t>7</w:t>
      </w:r>
      <w:r>
        <w:rPr>
          <w:rFonts w:cs="Times New Roman" w:asciiTheme="minorEastAsia" w:hAnsiTheme="minorEastAsia"/>
        </w:rPr>
        <w:t>.1.3  坐标基准应由四等及以上导线测量和三等及以上导线测量确定。</w:t>
      </w:r>
    </w:p>
    <w:p w14:paraId="6E03337F">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7.1.4  仪器出现故障需要更换主机或天线的，应对更换的主机或天线进行检验。</w:t>
      </w:r>
    </w:p>
    <w:p w14:paraId="2FA17A7B">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7.1.5  具体检查内容及方法应满足下列要求：</w:t>
      </w:r>
    </w:p>
    <w:p w14:paraId="60E73C14">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a) 接收机及天线外观是否良好，型号是否正确，各部件是否完好；</w:t>
      </w:r>
    </w:p>
    <w:p w14:paraId="09B1373B">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b）电缆型号是否符合要求，接头是否完好、配套，天线电缆的长度是否符合要求；</w:t>
      </w:r>
    </w:p>
    <w:p w14:paraId="1B98E293">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c）天线与基座连接件是否完好、配套，需固紧的部件是否有松动和脱落；</w:t>
      </w:r>
    </w:p>
    <w:p w14:paraId="54712EE4">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d）接收机数据传输接口配件及软件是否齐全，数据传输性能是否完好。</w:t>
      </w:r>
    </w:p>
    <w:p w14:paraId="6DE43072">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e）应进行仪器观测数据质量检验。检验方法见附录A.1。</w:t>
      </w:r>
    </w:p>
    <w:p w14:paraId="2063A804">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f） 宜采用零基线或超短基线检验方法对接收机内部噪声水平进行检验。零基线检验时，对1.5小时观测值，基线分量及长度应在1 mm以内，接收机内部噪声水平应满足厂商的指标。检验方法见附录A.2、A.3。</w:t>
      </w:r>
    </w:p>
    <w:p w14:paraId="30D14F7A">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g）宜对天线相位中心稳定性进行检验，相位中心稳定性应优于1mm。</w:t>
      </w:r>
    </w:p>
    <w:p w14:paraId="2386E0B1">
      <w:pPr>
        <w:pStyle w:val="46"/>
        <w:numPr>
          <w:ilvl w:val="0"/>
          <w:numId w:val="0"/>
        </w:numPr>
        <w:spacing w:line="300" w:lineRule="auto"/>
        <w:ind w:firstLine="420" w:firstLineChars="200"/>
        <w:rPr>
          <w:rFonts w:asciiTheme="minorEastAsia" w:hAnsiTheme="minorEastAsia" w:eastAsiaTheme="minorEastAsia"/>
        </w:rPr>
      </w:pPr>
      <w:r>
        <w:rPr>
          <w:rFonts w:hint="eastAsia" w:asciiTheme="minorEastAsia" w:hAnsiTheme="minorEastAsia" w:eastAsiaTheme="minorEastAsia"/>
        </w:rPr>
        <w:t>h）仪器检验完毕后要提交检验报告，其中包括仪器信息（厂商、配件号、序列号等）、数据采集情况简介、基线解算结果、检验结果分析及结论。</w:t>
      </w:r>
    </w:p>
    <w:p w14:paraId="4017E972">
      <w:pPr>
        <w:pStyle w:val="5"/>
        <w:spacing w:before="0" w:after="0" w:line="360" w:lineRule="auto"/>
        <w:rPr>
          <w:rFonts w:ascii="黑体" w:hAnsi="黑体" w:eastAsia="黑体" w:cs="Times New Roman"/>
          <w:b w:val="0"/>
          <w:sz w:val="21"/>
          <w:szCs w:val="21"/>
        </w:rPr>
      </w:pPr>
      <w:bookmarkStart w:id="118" w:name="_Toc166316679"/>
      <w:bookmarkStart w:id="119" w:name="_Toc13821"/>
      <w:bookmarkStart w:id="120" w:name="_Toc1635"/>
      <w:bookmarkStart w:id="121" w:name="_Toc187827484"/>
      <w:bookmarkStart w:id="122" w:name="_Toc962368"/>
      <w:bookmarkStart w:id="123" w:name="_Toc1661723"/>
      <w:bookmarkStart w:id="124" w:name="_Toc951467"/>
      <w:r>
        <w:rPr>
          <w:rFonts w:hint="eastAsia" w:ascii="黑体" w:hAnsi="黑体" w:eastAsia="黑体" w:cs="Times New Roman"/>
          <w:b w:val="0"/>
          <w:sz w:val="21"/>
          <w:szCs w:val="21"/>
        </w:rPr>
        <w:t>7</w:t>
      </w:r>
      <w:r>
        <w:rPr>
          <w:rFonts w:ascii="黑体" w:hAnsi="黑体" w:eastAsia="黑体" w:cs="Times New Roman"/>
          <w:b w:val="0"/>
          <w:sz w:val="21"/>
          <w:szCs w:val="21"/>
        </w:rPr>
        <w:t xml:space="preserve">.2  </w:t>
      </w:r>
      <w:r>
        <w:rPr>
          <w:rFonts w:hint="eastAsia" w:ascii="黑体" w:hAnsi="黑体" w:eastAsia="黑体" w:cs="Times New Roman"/>
          <w:b w:val="0"/>
          <w:sz w:val="21"/>
          <w:szCs w:val="21"/>
        </w:rPr>
        <w:t>安装</w:t>
      </w:r>
      <w:bookmarkEnd w:id="118"/>
      <w:bookmarkEnd w:id="119"/>
      <w:bookmarkEnd w:id="120"/>
      <w:bookmarkEnd w:id="121"/>
    </w:p>
    <w:bookmarkEnd w:id="122"/>
    <w:bookmarkEnd w:id="123"/>
    <w:bookmarkEnd w:id="124"/>
    <w:p w14:paraId="1CBF0F20">
      <w:pPr>
        <w:pStyle w:val="6"/>
        <w:spacing w:before="0" w:after="0" w:line="360" w:lineRule="auto"/>
      </w:pPr>
      <w:bookmarkStart w:id="125" w:name="_Toc14965"/>
      <w:bookmarkStart w:id="126" w:name="_Toc24307"/>
      <w:bookmarkStart w:id="127" w:name="_Toc187827485"/>
      <w:bookmarkStart w:id="128" w:name="_Toc21680"/>
      <w:r>
        <w:rPr>
          <w:rFonts w:hint="eastAsia"/>
        </w:rPr>
        <w:t>7.2.1  一般规定</w:t>
      </w:r>
      <w:bookmarkEnd w:id="125"/>
      <w:bookmarkEnd w:id="126"/>
      <w:bookmarkEnd w:id="127"/>
      <w:bookmarkEnd w:id="128"/>
    </w:p>
    <w:p w14:paraId="758860FF">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.2.1</w:t>
      </w:r>
      <w:r>
        <w:rPr>
          <w:rFonts w:hint="eastAsia" w:asciiTheme="minorEastAsia" w:hAnsiTheme="minorEastAsia" w:eastAsiaTheme="minorEastAsia"/>
        </w:rPr>
        <w:t>.1</w:t>
      </w:r>
      <w:r>
        <w:rPr>
          <w:rFonts w:asciiTheme="minorEastAsia" w:hAnsiTheme="minorEastAsia" w:eastAsiaTheme="minorEastAsia"/>
        </w:rPr>
        <w:t xml:space="preserve"> </w:t>
      </w:r>
      <w:r>
        <w:rPr>
          <w:rFonts w:hint="eastAsia" w:asciiTheme="minorEastAsia" w:hAnsiTheme="minorEastAsia" w:eastAsiaTheme="minorEastAsia"/>
        </w:rPr>
        <w:t xml:space="preserve"> 设备安装应具有完整详细的布线走线图以及使用、维护手册。</w:t>
      </w:r>
    </w:p>
    <w:p w14:paraId="75C2B496">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2  </w:t>
      </w:r>
      <w:r>
        <w:rPr>
          <w:rFonts w:hint="eastAsia" w:asciiTheme="minorEastAsia" w:hAnsiTheme="minorEastAsia" w:eastAsiaTheme="minorEastAsia"/>
        </w:rPr>
        <w:t>设备安装应保证监测设备的安全性，安装方法应符合监测设备的测量原理及测量条件。</w:t>
      </w:r>
    </w:p>
    <w:p w14:paraId="125D0615">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3  </w:t>
      </w:r>
      <w:r>
        <w:rPr>
          <w:rFonts w:hint="eastAsia" w:asciiTheme="minorEastAsia" w:hAnsiTheme="minorEastAsia" w:eastAsiaTheme="minorEastAsia"/>
        </w:rPr>
        <w:t>设备安装应考虑监测设备的多功能复用性。</w:t>
      </w:r>
    </w:p>
    <w:p w14:paraId="410673C1">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4  </w:t>
      </w:r>
      <w:r>
        <w:rPr>
          <w:rFonts w:hint="eastAsia" w:asciiTheme="minorEastAsia" w:hAnsiTheme="minorEastAsia" w:eastAsiaTheme="minorEastAsia"/>
        </w:rPr>
        <w:t>设备安装地点应考虑设备具备防水、防尘及耐高低温等基本性能。</w:t>
      </w:r>
    </w:p>
    <w:p w14:paraId="7F4F79AD">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5  </w:t>
      </w:r>
      <w:r>
        <w:rPr>
          <w:rFonts w:hint="eastAsia" w:asciiTheme="minorEastAsia" w:hAnsiTheme="minorEastAsia" w:eastAsiaTheme="minorEastAsia"/>
        </w:rPr>
        <w:t>应充分考虑连接线的走线线路和安装方式。线缆应具有必要的护套等保护措施，防水防潮、防电磁干扰、防动物啮咬、防偷盗等。设备连接涉及室内外互联时，应有防水措施。</w:t>
      </w:r>
    </w:p>
    <w:p w14:paraId="55967415">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6  </w:t>
      </w:r>
      <w:r>
        <w:rPr>
          <w:rFonts w:hint="eastAsia" w:asciiTheme="minorEastAsia" w:hAnsiTheme="minorEastAsia" w:eastAsiaTheme="minorEastAsia"/>
        </w:rPr>
        <w:t>安装应稳固、美观，整体宜采用蓝、白、灰等颜色进行搭配使用，区分明显。</w:t>
      </w:r>
    </w:p>
    <w:p w14:paraId="19E00387">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7  </w:t>
      </w:r>
      <w:r>
        <w:rPr>
          <w:rFonts w:hint="eastAsia" w:asciiTheme="minorEastAsia" w:hAnsiTheme="minorEastAsia" w:eastAsiaTheme="minorEastAsia"/>
        </w:rPr>
        <w:t>对安装的所有监测设备支架应进行接地电阻测试，达到防雷设计规范。</w:t>
      </w:r>
    </w:p>
    <w:p w14:paraId="7C9333AC">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8  </w:t>
      </w:r>
      <w:r>
        <w:rPr>
          <w:rFonts w:hint="eastAsia" w:asciiTheme="minorEastAsia" w:hAnsiTheme="minorEastAsia" w:eastAsiaTheme="minorEastAsia"/>
        </w:rPr>
        <w:t>表面变形监测的观测墩墩项强制对中底盘安装倾斜度应不大于4'。</w:t>
      </w:r>
    </w:p>
    <w:p w14:paraId="11F19FFE">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9  </w:t>
      </w:r>
      <w:r>
        <w:rPr>
          <w:rFonts w:hint="eastAsia" w:asciiTheme="minorEastAsia" w:hAnsiTheme="minorEastAsia" w:eastAsiaTheme="minorEastAsia"/>
        </w:rPr>
        <w:t>供电设备安装应依据</w:t>
      </w:r>
      <w:r>
        <w:rPr>
          <w:rFonts w:asciiTheme="minorEastAsia" w:hAnsiTheme="minorEastAsia" w:eastAsiaTheme="minorEastAsia"/>
        </w:rPr>
        <w:t>GB 50174</w:t>
      </w:r>
      <w:r>
        <w:rPr>
          <w:rFonts w:hint="eastAsia" w:asciiTheme="minorEastAsia" w:hAnsiTheme="minorEastAsia" w:eastAsiaTheme="minorEastAsia"/>
        </w:rPr>
        <w:t>敷设安装。蓄电池宜结合接收机安装或安装在地埋箱内。</w:t>
      </w:r>
    </w:p>
    <w:p w14:paraId="7F310C23">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10  </w:t>
      </w:r>
      <w:r>
        <w:rPr>
          <w:rFonts w:hint="eastAsia" w:asciiTheme="minorEastAsia" w:hAnsiTheme="minorEastAsia" w:eastAsiaTheme="minorEastAsia"/>
        </w:rPr>
        <w:t>直击雷的防雷设施安装宜参照</w:t>
      </w:r>
      <w:r>
        <w:rPr>
          <w:rFonts w:asciiTheme="minorEastAsia" w:hAnsiTheme="minorEastAsia" w:eastAsiaTheme="minorEastAsia"/>
        </w:rPr>
        <w:t>GB 50343</w:t>
      </w:r>
      <w:r>
        <w:rPr>
          <w:rFonts w:hint="eastAsia" w:asciiTheme="minorEastAsia" w:hAnsiTheme="minorEastAsia" w:eastAsiaTheme="minorEastAsia"/>
        </w:rPr>
        <w:t>的规定执行。感应雷的防雷设施安装应依据</w:t>
      </w:r>
      <w:r>
        <w:rPr>
          <w:rFonts w:asciiTheme="minorEastAsia" w:hAnsiTheme="minorEastAsia" w:eastAsiaTheme="minorEastAsia"/>
        </w:rPr>
        <w:t>GB 50057</w:t>
      </w:r>
      <w:r>
        <w:rPr>
          <w:rFonts w:hint="eastAsia" w:asciiTheme="minorEastAsia" w:hAnsiTheme="minorEastAsia" w:eastAsiaTheme="minorEastAsia"/>
        </w:rPr>
        <w:t>和</w:t>
      </w:r>
      <w:r>
        <w:rPr>
          <w:rFonts w:asciiTheme="minorEastAsia" w:hAnsiTheme="minorEastAsia" w:eastAsiaTheme="minorEastAsia"/>
        </w:rPr>
        <w:t>GB 7450</w:t>
      </w:r>
      <w:r>
        <w:rPr>
          <w:rFonts w:hint="eastAsia" w:asciiTheme="minorEastAsia" w:hAnsiTheme="minorEastAsia" w:eastAsiaTheme="minorEastAsia"/>
        </w:rPr>
        <w:t>的要求执行。</w:t>
      </w:r>
    </w:p>
    <w:p w14:paraId="7DC2CD14">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 xml:space="preserve">11  </w:t>
      </w:r>
      <w:r>
        <w:rPr>
          <w:rFonts w:hint="eastAsia" w:asciiTheme="minorEastAsia" w:hAnsiTheme="minorEastAsia" w:eastAsiaTheme="minorEastAsia"/>
        </w:rPr>
        <w:t>室内通讯设备宜远离接收机。</w:t>
      </w:r>
    </w:p>
    <w:p w14:paraId="1A723BF2">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1</w:t>
      </w:r>
      <w:r>
        <w:rPr>
          <w:rFonts w:hint="eastAsia" w:asciiTheme="minorEastAsia" w:hAnsiTheme="minorEastAsia" w:eastAsiaTheme="minorEastAsia"/>
        </w:rPr>
        <w:t>2</w:t>
      </w:r>
      <w:r>
        <w:rPr>
          <w:rFonts w:asciiTheme="minorEastAsia" w:hAnsiTheme="minorEastAsia" w:eastAsiaTheme="minorEastAsia"/>
        </w:rPr>
        <w:t xml:space="preserve">  </w:t>
      </w:r>
      <w:r>
        <w:rPr>
          <w:rFonts w:hint="eastAsia" w:asciiTheme="minorEastAsia" w:hAnsiTheme="minorEastAsia" w:eastAsiaTheme="minorEastAsia"/>
        </w:rPr>
        <w:t>设备安装完成后，现场应统一安装设备标识于仪器外壳明显处，并防止损毁。</w:t>
      </w:r>
    </w:p>
    <w:p w14:paraId="21900044">
      <w:pPr>
        <w:pStyle w:val="46"/>
        <w:numPr>
          <w:ilvl w:val="0"/>
          <w:numId w:val="0"/>
        </w:numPr>
        <w:spacing w:line="300" w:lineRule="auto"/>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1.</w:t>
      </w:r>
      <w:r>
        <w:rPr>
          <w:rFonts w:asciiTheme="minorEastAsia" w:hAnsiTheme="minorEastAsia" w:eastAsiaTheme="minorEastAsia"/>
        </w:rPr>
        <w:t>1</w:t>
      </w:r>
      <w:r>
        <w:rPr>
          <w:rFonts w:hint="eastAsia" w:asciiTheme="minorEastAsia" w:hAnsiTheme="minorEastAsia" w:eastAsiaTheme="minorEastAsia"/>
        </w:rPr>
        <w:t>3</w:t>
      </w:r>
      <w:r>
        <w:rPr>
          <w:rFonts w:asciiTheme="minorEastAsia" w:hAnsiTheme="minorEastAsia" w:eastAsiaTheme="minorEastAsia"/>
        </w:rPr>
        <w:t xml:space="preserve">  </w:t>
      </w:r>
      <w:r>
        <w:rPr>
          <w:rFonts w:hint="eastAsia" w:asciiTheme="minorEastAsia" w:hAnsiTheme="minorEastAsia" w:eastAsiaTheme="minorEastAsia"/>
        </w:rPr>
        <w:t>设备安装完成后，应整理接线，收纳美观，清理安装现场残余垃圾。</w:t>
      </w:r>
    </w:p>
    <w:p w14:paraId="09D8B7A6">
      <w:pPr>
        <w:pStyle w:val="6"/>
        <w:spacing w:before="0" w:after="0" w:line="360" w:lineRule="auto"/>
      </w:pPr>
      <w:bookmarkStart w:id="129" w:name="_Toc6687"/>
      <w:bookmarkStart w:id="130" w:name="_Toc954"/>
      <w:bookmarkStart w:id="131" w:name="_Toc19346"/>
      <w:bookmarkStart w:id="132" w:name="_Toc187827486"/>
      <w:r>
        <w:rPr>
          <w:rFonts w:hint="eastAsia"/>
        </w:rPr>
        <w:t>7.2.2  天线</w:t>
      </w:r>
      <w:r>
        <w:t>架设</w:t>
      </w:r>
      <w:bookmarkEnd w:id="129"/>
      <w:bookmarkEnd w:id="130"/>
      <w:bookmarkEnd w:id="131"/>
      <w:bookmarkEnd w:id="132"/>
    </w:p>
    <w:p w14:paraId="18C206A6">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7.2.1.1  天线应固紧于观测墩的强制对中底盘上，天线定向指北标志与磁北方向差异应小于</w:t>
      </w:r>
      <w:r>
        <w:rPr>
          <w:rFonts w:asciiTheme="minorEastAsia" w:hAnsiTheme="minorEastAsia" w:eastAsiaTheme="minorEastAsia"/>
        </w:rPr>
        <w:t>5</w:t>
      </w:r>
      <w:r>
        <w:rPr>
          <w:rFonts w:hint="eastAsia" w:asciiTheme="minorEastAsia" w:hAnsiTheme="minorEastAsia" w:eastAsiaTheme="minorEastAsia"/>
        </w:rPr>
        <w:t>°。</w:t>
      </w:r>
    </w:p>
    <w:p w14:paraId="564650ED">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7.2.1.2  量取天线高应量取天线参考面到观测墩标志面的垂直距离。</w:t>
      </w:r>
    </w:p>
    <w:p w14:paraId="123BA0BC">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7.2.1.3  安装后应详细记录量取的位置及方式。</w:t>
      </w:r>
    </w:p>
    <w:p w14:paraId="69EE1C6E">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7.2.1.4  天线高量取应在天线参考面互成120度的三个位置量取，三个位置取平均数作为一次天线高数据，读数和平均数精确至1mm。</w:t>
      </w:r>
    </w:p>
    <w:p w14:paraId="3D612E0C">
      <w:pPr>
        <w:pStyle w:val="6"/>
        <w:spacing w:before="0" w:after="0" w:line="360" w:lineRule="auto"/>
      </w:pPr>
      <w:bookmarkStart w:id="133" w:name="_Toc25023"/>
      <w:bookmarkStart w:id="134" w:name="_Toc2271"/>
      <w:bookmarkStart w:id="135" w:name="_Toc11755"/>
      <w:bookmarkStart w:id="136" w:name="_Toc187827487"/>
      <w:r>
        <w:rPr>
          <w:rFonts w:hint="eastAsia"/>
        </w:rPr>
        <w:t>7.2.3  接收机</w:t>
      </w:r>
      <w:r>
        <w:t>架设</w:t>
      </w:r>
      <w:bookmarkEnd w:id="133"/>
      <w:bookmarkEnd w:id="134"/>
      <w:bookmarkEnd w:id="135"/>
      <w:bookmarkEnd w:id="136"/>
    </w:p>
    <w:p w14:paraId="5D3DA2C8">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7.2.3.1  机箱内做好各类线缆的规整与排列，并绑扎紧固。</w:t>
      </w:r>
    </w:p>
    <w:p w14:paraId="6AA4BD30">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7.2.3.2  按仪器操作手册规定程序完成接收机与电源连接。</w:t>
      </w:r>
    </w:p>
    <w:p w14:paraId="617FDD2E">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7.2.3.3  接收机安装时，应采取必要的防盗保护措施。</w:t>
      </w:r>
    </w:p>
    <w:p w14:paraId="5DE89241">
      <w:pPr>
        <w:pStyle w:val="6"/>
        <w:spacing w:before="0" w:after="0" w:line="360" w:lineRule="auto"/>
      </w:pPr>
      <w:bookmarkStart w:id="137" w:name="_Toc23152"/>
      <w:bookmarkStart w:id="138" w:name="_Toc187827488"/>
      <w:bookmarkStart w:id="139" w:name="_Toc1661725"/>
      <w:bookmarkStart w:id="140" w:name="_Toc962370"/>
      <w:bookmarkStart w:id="141" w:name="_Toc951469"/>
      <w:bookmarkStart w:id="142" w:name="_Toc18118"/>
      <w:bookmarkStart w:id="143" w:name="_Toc14857"/>
      <w:r>
        <w:rPr>
          <w:rFonts w:hint="eastAsia"/>
        </w:rPr>
        <w:t>7.2.4  浪涌保护器</w:t>
      </w:r>
      <w:bookmarkEnd w:id="137"/>
      <w:bookmarkEnd w:id="138"/>
      <w:bookmarkEnd w:id="139"/>
      <w:bookmarkEnd w:id="140"/>
      <w:bookmarkEnd w:id="141"/>
      <w:bookmarkEnd w:id="142"/>
      <w:bookmarkEnd w:id="143"/>
    </w:p>
    <w:p w14:paraId="138058B0">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7.2.4.1采用分体式北斗接收机时，天馈线路浪涌保护器的安装应符合下列规定：</w:t>
      </w:r>
    </w:p>
    <w:p w14:paraId="2A0E5C75">
      <w:pPr>
        <w:pStyle w:val="46"/>
        <w:numPr>
          <w:ilvl w:val="0"/>
          <w:numId w:val="10"/>
        </w:numPr>
        <w:spacing w:line="360" w:lineRule="auto"/>
        <w:rPr>
          <w:rFonts w:asciiTheme="minorEastAsia" w:hAnsiTheme="minorEastAsia" w:eastAsiaTheme="minorEastAsia"/>
        </w:rPr>
      </w:pPr>
      <w:r>
        <w:rPr>
          <w:rFonts w:hint="eastAsia" w:asciiTheme="minorEastAsia" w:hAnsiTheme="minorEastAsia" w:eastAsiaTheme="minorEastAsia"/>
        </w:rPr>
        <w:t xml:space="preserve"> 天馈线路浪涌保护器应安装在北斗天线与北斗接收机之间；</w:t>
      </w:r>
    </w:p>
    <w:p w14:paraId="5574BE7A">
      <w:pPr>
        <w:pStyle w:val="46"/>
        <w:numPr>
          <w:ilvl w:val="0"/>
          <w:numId w:val="0"/>
        </w:num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b)天馈线路浪涌保护器的接地端应采用截面积不小于</w:t>
      </w:r>
      <w:r>
        <w:rPr>
          <w:rFonts w:asciiTheme="minorEastAsia" w:hAnsiTheme="minorEastAsia" w:eastAsiaTheme="minorEastAsia"/>
        </w:rPr>
        <w:t>6mm2</w:t>
      </w:r>
      <w:r>
        <w:rPr>
          <w:rFonts w:hint="eastAsia" w:asciiTheme="minorEastAsia" w:hAnsiTheme="minorEastAsia" w:eastAsiaTheme="minorEastAsia"/>
        </w:rPr>
        <w:t>的铜芯导线就近连接到交界处的等电位接地端子板上，接地线应短直。</w:t>
      </w:r>
    </w:p>
    <w:p w14:paraId="20A7000F">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7.2.4.2  信号线路浪涌保护器的安装应符合下列规定：</w:t>
      </w:r>
    </w:p>
    <w:p w14:paraId="5868999A">
      <w:pPr>
        <w:pStyle w:val="46"/>
        <w:numPr>
          <w:ilvl w:val="0"/>
          <w:numId w:val="0"/>
        </w:num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a)信号线路浪涌保护器应连接在被保护设备的信号端口上;</w:t>
      </w:r>
    </w:p>
    <w:p w14:paraId="537DB8B6">
      <w:pPr>
        <w:pStyle w:val="46"/>
        <w:numPr>
          <w:ilvl w:val="0"/>
          <w:numId w:val="0"/>
        </w:num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b)信号线路浪涌保护器接地端宜采用截面积不小于</w:t>
      </w:r>
      <w:r>
        <w:rPr>
          <w:rFonts w:asciiTheme="minorEastAsia" w:hAnsiTheme="minorEastAsia" w:eastAsiaTheme="minorEastAsia"/>
        </w:rPr>
        <w:t>6mm2</w:t>
      </w:r>
      <w:r>
        <w:rPr>
          <w:rFonts w:hint="eastAsia" w:asciiTheme="minorEastAsia" w:hAnsiTheme="minorEastAsia" w:eastAsiaTheme="minorEastAsia"/>
        </w:rPr>
        <w:t>的铜芯导线就近连接到交界处的等电位接地端子板上，接地线应短直。</w:t>
      </w:r>
    </w:p>
    <w:p w14:paraId="28563586">
      <w:pPr>
        <w:pStyle w:val="6"/>
        <w:spacing w:before="0" w:after="0" w:line="360" w:lineRule="auto"/>
      </w:pPr>
      <w:bookmarkStart w:id="144" w:name="_Toc6376"/>
      <w:bookmarkStart w:id="145" w:name="_Toc187827489"/>
      <w:bookmarkStart w:id="146" w:name="_Toc962371"/>
      <w:bookmarkStart w:id="147" w:name="_Toc24458"/>
      <w:bookmarkStart w:id="148" w:name="_Toc20613"/>
      <w:bookmarkStart w:id="149" w:name="_Toc1661726"/>
      <w:bookmarkStart w:id="150" w:name="_Toc951470"/>
      <w:r>
        <w:rPr>
          <w:rFonts w:hint="eastAsia"/>
        </w:rPr>
        <w:t>7</w:t>
      </w:r>
      <w:r>
        <w:t>.2.</w:t>
      </w:r>
      <w:r>
        <w:rPr>
          <w:rFonts w:hint="eastAsia"/>
        </w:rPr>
        <w:t>5</w:t>
      </w:r>
      <w:r>
        <w:t xml:space="preserve">  </w:t>
      </w:r>
      <w:r>
        <w:rPr>
          <w:rFonts w:hint="eastAsia"/>
        </w:rPr>
        <w:t>线缆敷设</w:t>
      </w:r>
      <w:bookmarkEnd w:id="144"/>
      <w:bookmarkEnd w:id="145"/>
      <w:bookmarkEnd w:id="146"/>
      <w:bookmarkEnd w:id="147"/>
      <w:bookmarkEnd w:id="148"/>
      <w:bookmarkEnd w:id="149"/>
      <w:bookmarkEnd w:id="150"/>
    </w:p>
    <w:p w14:paraId="254CF4E5">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.2.</w:t>
      </w:r>
      <w:r>
        <w:rPr>
          <w:rFonts w:hint="eastAsia" w:asciiTheme="minorEastAsia" w:hAnsiTheme="minorEastAsia" w:eastAsiaTheme="minorEastAsia"/>
        </w:rPr>
        <w:t>5.1</w:t>
      </w:r>
      <w:r>
        <w:rPr>
          <w:rFonts w:asciiTheme="minorEastAsia" w:hAnsiTheme="minorEastAsia" w:eastAsiaTheme="minorEastAsia"/>
        </w:rPr>
        <w:t xml:space="preserve">  </w:t>
      </w:r>
      <w:r>
        <w:rPr>
          <w:rFonts w:hint="eastAsia" w:asciiTheme="minorEastAsia" w:hAnsiTheme="minorEastAsia" w:eastAsiaTheme="minorEastAsia"/>
        </w:rPr>
        <w:t>线缆敷设及接续连接宜按照</w:t>
      </w:r>
      <w:r>
        <w:rPr>
          <w:rFonts w:asciiTheme="minorEastAsia" w:hAnsiTheme="minorEastAsia" w:eastAsiaTheme="minorEastAsia"/>
        </w:rPr>
        <w:t>GB 50348</w:t>
      </w:r>
      <w:r>
        <w:rPr>
          <w:rFonts w:hint="eastAsia" w:asciiTheme="minorEastAsia" w:hAnsiTheme="minorEastAsia" w:eastAsiaTheme="minorEastAsia"/>
        </w:rPr>
        <w:t>的有关线缆敷设的工程施工技术要求执行。</w:t>
      </w:r>
    </w:p>
    <w:p w14:paraId="789BA9C1">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线槽或线架上的线缆，其绑扎间距应均匀合理，绑扎线扣应整齐，松紧适宜；绑扎线头宜隐藏不外露。</w:t>
      </w:r>
    </w:p>
    <w:p w14:paraId="4189D171">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7.2.5.2  宜采取线缆屏蔽和线缆合理布设措施，减小雷击电磁脉冲在线缆内产生的浪涌，。</w:t>
      </w:r>
    </w:p>
    <w:p w14:paraId="7317C65A">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线缆宜敷设在金属线槽或金属管道内。布置线缆路由走向时，应尽量减小由线缆自身形成的电磁感应环路面积。</w:t>
      </w:r>
    </w:p>
    <w:p w14:paraId="1B017EAD">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7.2.5.3  采用屏蔽电缆时，应在屏蔽层两端并宜在雷电防护区交界处做等电位连接并接地。光缆的所有金属接头、金属护层、金属挡潮层、金属加强芯等，应在进入建筑物处直接接地。</w:t>
      </w:r>
    </w:p>
    <w:p w14:paraId="64A254CB">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7.2.5.4  接地线在穿越墙壁、楼板和地坪处宜套钢管或其它非金属的保护套管，铜管应与接地线做电气连通。</w:t>
      </w:r>
    </w:p>
    <w:p w14:paraId="72CE9C27">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7.2.5.5  接地线、浪涌保护器连接线的敷设宜短直、整齐。</w:t>
      </w:r>
    </w:p>
    <w:p w14:paraId="766CF8E1">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7.2.5.6  接地线、浪涌保护器连接线转弯时弯角应大于</w:t>
      </w:r>
      <w:r>
        <w:rPr>
          <w:rFonts w:asciiTheme="minorEastAsia" w:hAnsiTheme="minorEastAsia" w:eastAsiaTheme="minorEastAsia"/>
        </w:rPr>
        <w:t>90</w:t>
      </w:r>
      <w:r>
        <w:rPr>
          <w:rFonts w:hint="eastAsia" w:asciiTheme="minorEastAsia" w:hAnsiTheme="minorEastAsia" w:eastAsiaTheme="minorEastAsia"/>
        </w:rPr>
        <w:t>°，弯曲半径应大于导线直径的</w:t>
      </w:r>
      <w:r>
        <w:rPr>
          <w:rFonts w:asciiTheme="minorEastAsia" w:hAnsiTheme="minorEastAsia" w:eastAsiaTheme="minorEastAsia"/>
        </w:rPr>
        <w:t>10</w:t>
      </w:r>
      <w:r>
        <w:rPr>
          <w:rFonts w:hint="eastAsia" w:asciiTheme="minorEastAsia" w:hAnsiTheme="minorEastAsia" w:eastAsiaTheme="minorEastAsia"/>
        </w:rPr>
        <w:t>倍。</w:t>
      </w:r>
    </w:p>
    <w:bookmarkEnd w:id="117"/>
    <w:p w14:paraId="35BDF677">
      <w:pPr>
        <w:pStyle w:val="5"/>
        <w:spacing w:before="0" w:after="0" w:line="360" w:lineRule="auto"/>
        <w:rPr>
          <w:rFonts w:ascii="黑体" w:hAnsi="黑体" w:eastAsia="黑体" w:cs="Times New Roman"/>
          <w:b w:val="0"/>
          <w:sz w:val="21"/>
          <w:szCs w:val="21"/>
        </w:rPr>
      </w:pPr>
      <w:bookmarkStart w:id="151" w:name="_Toc187827490"/>
      <w:bookmarkStart w:id="152" w:name="_Toc5033"/>
      <w:bookmarkStart w:id="153" w:name="_Toc166316680"/>
      <w:bookmarkStart w:id="154" w:name="_Toc22622"/>
      <w:r>
        <w:rPr>
          <w:rFonts w:hint="eastAsia" w:ascii="黑体" w:hAnsi="黑体" w:eastAsia="黑体" w:cs="Times New Roman"/>
          <w:b w:val="0"/>
          <w:sz w:val="21"/>
          <w:szCs w:val="21"/>
        </w:rPr>
        <w:t>7</w:t>
      </w:r>
      <w:r>
        <w:rPr>
          <w:rFonts w:ascii="黑体" w:hAnsi="黑体" w:eastAsia="黑体" w:cs="Times New Roman"/>
          <w:b w:val="0"/>
          <w:sz w:val="21"/>
          <w:szCs w:val="21"/>
        </w:rPr>
        <w:t xml:space="preserve">.3  </w:t>
      </w:r>
      <w:r>
        <w:rPr>
          <w:rFonts w:hint="eastAsia" w:ascii="黑体" w:hAnsi="黑体" w:eastAsia="黑体" w:cs="Times New Roman"/>
          <w:b w:val="0"/>
          <w:sz w:val="21"/>
          <w:szCs w:val="21"/>
        </w:rPr>
        <w:t>调试</w:t>
      </w:r>
      <w:bookmarkEnd w:id="151"/>
      <w:bookmarkEnd w:id="152"/>
      <w:bookmarkEnd w:id="153"/>
      <w:bookmarkEnd w:id="154"/>
    </w:p>
    <w:p w14:paraId="04B366CE">
      <w:pPr>
        <w:pStyle w:val="6"/>
        <w:spacing w:before="0" w:after="0" w:line="360" w:lineRule="auto"/>
      </w:pPr>
      <w:bookmarkStart w:id="155" w:name="_Toc17208"/>
      <w:bookmarkStart w:id="156" w:name="_Toc20070"/>
      <w:bookmarkStart w:id="157" w:name="_Toc187827491"/>
      <w:bookmarkStart w:id="158" w:name="_Toc17116"/>
      <w:r>
        <w:rPr>
          <w:rFonts w:hint="eastAsia"/>
        </w:rPr>
        <w:t>7.3.1  一般规定</w:t>
      </w:r>
      <w:bookmarkEnd w:id="155"/>
      <w:bookmarkEnd w:id="156"/>
      <w:bookmarkEnd w:id="157"/>
      <w:bookmarkEnd w:id="158"/>
    </w:p>
    <w:p w14:paraId="790EA20B">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.3.1</w:t>
      </w:r>
      <w:r>
        <w:rPr>
          <w:rFonts w:hint="eastAsia" w:asciiTheme="minorEastAsia" w:hAnsiTheme="minorEastAsia" w:eastAsiaTheme="minorEastAsia"/>
        </w:rPr>
        <w:t>.1</w:t>
      </w:r>
      <w:r>
        <w:rPr>
          <w:rFonts w:asciiTheme="minorEastAsia" w:hAnsiTheme="minorEastAsia" w:eastAsiaTheme="minorEastAsia"/>
        </w:rPr>
        <w:t xml:space="preserve">  </w:t>
      </w:r>
      <w:r>
        <w:rPr>
          <w:rFonts w:hint="eastAsia" w:asciiTheme="minorEastAsia" w:hAnsiTheme="minorEastAsia" w:eastAsiaTheme="minorEastAsia"/>
        </w:rPr>
        <w:t>监测系统中设备安装完成、</w:t>
      </w:r>
      <w:r>
        <w:rPr>
          <w:rFonts w:hint="eastAsia" w:hAnsi="宋体"/>
          <w:szCs w:val="21"/>
        </w:rPr>
        <w:t>正式提供服务前，</w:t>
      </w:r>
      <w:r>
        <w:rPr>
          <w:rFonts w:hint="eastAsia" w:asciiTheme="minorEastAsia" w:hAnsiTheme="minorEastAsia" w:eastAsiaTheme="minorEastAsia"/>
        </w:rPr>
        <w:t>应进行系统整体调试、性能测试。</w:t>
      </w:r>
    </w:p>
    <w:p w14:paraId="0EC627B5">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应对设备进行基本参数测试与配置、设备之间连接测试、整体模拟运行，中心站设备与应用软件的基本参数配置和主要功能检测等。</w:t>
      </w:r>
    </w:p>
    <w:p w14:paraId="2953409A">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7.3.1.2  系统调试前应对监测设备设施进行通电、通信检查。</w:t>
      </w:r>
    </w:p>
    <w:p w14:paraId="345AF490">
      <w:pPr>
        <w:pStyle w:val="6"/>
        <w:spacing w:before="0" w:after="0" w:line="360" w:lineRule="auto"/>
      </w:pPr>
      <w:bookmarkStart w:id="159" w:name="_Toc31078"/>
      <w:bookmarkStart w:id="160" w:name="_Toc26176"/>
      <w:bookmarkStart w:id="161" w:name="_Toc17073"/>
      <w:bookmarkStart w:id="162" w:name="_Toc187827492"/>
      <w:r>
        <w:rPr>
          <w:rFonts w:hint="eastAsia"/>
        </w:rPr>
        <w:t>7.3.2  接收机调试</w:t>
      </w:r>
      <w:bookmarkEnd w:id="159"/>
      <w:bookmarkEnd w:id="160"/>
      <w:bookmarkEnd w:id="161"/>
      <w:bookmarkEnd w:id="162"/>
    </w:p>
    <w:p w14:paraId="78793433">
      <w:pPr>
        <w:pStyle w:val="46"/>
        <w:numPr>
          <w:ilvl w:val="0"/>
          <w:numId w:val="0"/>
        </w:numPr>
        <w:spacing w:line="300" w:lineRule="auto"/>
        <w:ind w:firstLine="210" w:firstLineChars="100"/>
        <w:rPr>
          <w:rFonts w:asciiTheme="minorEastAsia" w:hAnsiTheme="minorEastAsia" w:eastAsiaTheme="minorEastAsia"/>
        </w:rPr>
      </w:pPr>
      <w:r>
        <w:rPr>
          <w:rFonts w:asciiTheme="minorEastAsia" w:hAnsiTheme="minorEastAsia" w:eastAsiaTheme="minorEastAsia"/>
        </w:rPr>
        <w:t xml:space="preserve">  </w:t>
      </w:r>
      <w:r>
        <w:rPr>
          <w:rFonts w:hint="eastAsia" w:asciiTheme="minorEastAsia" w:hAnsiTheme="minorEastAsia" w:eastAsiaTheme="minorEastAsia"/>
        </w:rPr>
        <w:t>接收机调试包括数据的采样频率、输出数据的格式、数据通讯协议、兼容的卫星导航系统等运行参数设定。</w:t>
      </w:r>
    </w:p>
    <w:p w14:paraId="34E4F56D">
      <w:pPr>
        <w:pStyle w:val="6"/>
        <w:spacing w:before="0" w:after="0" w:line="360" w:lineRule="auto"/>
      </w:pPr>
      <w:bookmarkStart w:id="163" w:name="_Toc28174"/>
      <w:bookmarkStart w:id="164" w:name="_Toc14553"/>
      <w:bookmarkStart w:id="165" w:name="_Toc18386"/>
      <w:bookmarkStart w:id="166" w:name="_Toc187827493"/>
      <w:r>
        <w:rPr>
          <w:rFonts w:hint="eastAsia"/>
        </w:rPr>
        <w:t>7</w:t>
      </w:r>
      <w:r>
        <w:t xml:space="preserve">.3.3  </w:t>
      </w:r>
      <w:r>
        <w:rPr>
          <w:rFonts w:hint="eastAsia"/>
        </w:rPr>
        <w:t>网络通信调试</w:t>
      </w:r>
      <w:bookmarkEnd w:id="163"/>
      <w:bookmarkEnd w:id="164"/>
      <w:bookmarkEnd w:id="165"/>
      <w:bookmarkEnd w:id="166"/>
    </w:p>
    <w:p w14:paraId="7A1AB700">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7.3.3.1  对各联网设备的</w:t>
      </w:r>
      <w:r>
        <w:rPr>
          <w:rFonts w:asciiTheme="minorEastAsia" w:hAnsiTheme="minorEastAsia" w:eastAsiaTheme="minorEastAsia"/>
        </w:rPr>
        <w:t>IP</w:t>
      </w:r>
      <w:r>
        <w:rPr>
          <w:rFonts w:hint="eastAsia" w:asciiTheme="minorEastAsia" w:hAnsiTheme="minorEastAsia" w:eastAsiaTheme="minorEastAsia"/>
        </w:rPr>
        <w:t>地址进行设置，包括接收机、交换机、服务器等。</w:t>
      </w:r>
    </w:p>
    <w:p w14:paraId="31780C7D">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7.3.3.2  以</w:t>
      </w:r>
      <w:r>
        <w:rPr>
          <w:rFonts w:asciiTheme="minorEastAsia" w:hAnsiTheme="minorEastAsia" w:eastAsiaTheme="minorEastAsia"/>
        </w:rPr>
        <w:t>web</w:t>
      </w:r>
      <w:r>
        <w:rPr>
          <w:rFonts w:hint="eastAsia" w:asciiTheme="minorEastAsia" w:hAnsiTheme="minorEastAsia" w:eastAsiaTheme="minorEastAsia"/>
        </w:rPr>
        <w:t>模式远程登录接收机，测试接收机远程控制功能、远程配置功能以及相关的数据下载功能等。</w:t>
      </w:r>
    </w:p>
    <w:p w14:paraId="01556A45">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7.3.3.3  数据网络通信延迟、通信数据丢包率及网络安全满足本标准相关技术要求。</w:t>
      </w:r>
    </w:p>
    <w:p w14:paraId="785F5C7B">
      <w:pPr>
        <w:pStyle w:val="20"/>
        <w:spacing w:line="360" w:lineRule="auto"/>
        <w:ind w:firstLine="0" w:firstLineChars="0"/>
        <w:rPr>
          <w:rFonts w:ascii="等线" w:hAnsi="等线"/>
          <w:szCs w:val="21"/>
        </w:rPr>
      </w:pPr>
      <w:r>
        <w:rPr>
          <w:rFonts w:hint="eastAsia" w:cs="Times New Roman" w:asciiTheme="minorEastAsia" w:hAnsiTheme="minorEastAsia"/>
          <w:kern w:val="0"/>
          <w:szCs w:val="20"/>
        </w:rPr>
        <w:t>7</w:t>
      </w:r>
      <w:r>
        <w:rPr>
          <w:rFonts w:cs="Times New Roman" w:asciiTheme="minorEastAsia" w:hAnsiTheme="minorEastAsia"/>
          <w:kern w:val="0"/>
          <w:szCs w:val="20"/>
        </w:rPr>
        <w:t xml:space="preserve">.3.3.4  </w:t>
      </w:r>
      <w:r>
        <w:rPr>
          <w:rFonts w:hint="eastAsia" w:ascii="等线" w:hAnsi="等线"/>
          <w:szCs w:val="21"/>
        </w:rPr>
        <w:t>系统正式提供服务前应对基准站数据质量与网络通信质量进行测评。网络通信应能满足下列要求：</w:t>
      </w:r>
    </w:p>
    <w:p w14:paraId="3A763D28">
      <w:pPr>
        <w:spacing w:line="360" w:lineRule="auto"/>
        <w:ind w:firstLine="420" w:firstLineChars="200"/>
        <w:rPr>
          <w:rFonts w:ascii="等线" w:hAnsi="等线"/>
          <w:szCs w:val="21"/>
        </w:rPr>
      </w:pPr>
      <w:r>
        <w:rPr>
          <w:rFonts w:hint="eastAsia" w:ascii="等线" w:hAnsi="等线"/>
          <w:szCs w:val="21"/>
        </w:rPr>
        <w:t>a) 基准站和监测站北斗观测数据完好率应优于95%；</w:t>
      </w:r>
    </w:p>
    <w:p w14:paraId="4D0ADD06">
      <w:pPr>
        <w:spacing w:line="360" w:lineRule="auto"/>
        <w:ind w:firstLine="420" w:firstLineChars="200"/>
        <w:rPr>
          <w:rFonts w:ascii="等线" w:hAnsi="等线"/>
          <w:szCs w:val="21"/>
        </w:rPr>
      </w:pPr>
      <w:r>
        <w:rPr>
          <w:rFonts w:hint="eastAsia" w:ascii="等线" w:hAnsi="等线"/>
          <w:szCs w:val="21"/>
        </w:rPr>
        <w:t>b) 基准站和监测站多路径效应不宜大于0.5m；</w:t>
      </w:r>
    </w:p>
    <w:p w14:paraId="656FB58E">
      <w:pPr>
        <w:pStyle w:val="51"/>
        <w:numPr>
          <w:ilvl w:val="0"/>
          <w:numId w:val="0"/>
        </w:numPr>
        <w:spacing w:line="360" w:lineRule="auto"/>
        <w:ind w:left="105" w:leftChars="50" w:firstLine="315" w:firstLineChars="150"/>
      </w:pPr>
      <w:r>
        <w:rPr>
          <w:rFonts w:hint="eastAsia" w:ascii="等线" w:hAnsi="等线"/>
          <w:szCs w:val="21"/>
        </w:rPr>
        <w:t xml:space="preserve">c) </w:t>
      </w:r>
      <w:r>
        <w:rPr>
          <w:rFonts w:hint="eastAsia"/>
        </w:rPr>
        <w:t>光纤网络通信延迟应小于</w:t>
      </w:r>
      <w:r>
        <w:t>50ms</w:t>
      </w:r>
      <w:r>
        <w:rPr>
          <w:rFonts w:hint="eastAsia"/>
        </w:rPr>
        <w:t>；WiFi网络通信延迟应小于</w:t>
      </w:r>
      <w:r>
        <w:t>200ms</w:t>
      </w:r>
      <w:r>
        <w:rPr>
          <w:rFonts w:hint="eastAsia"/>
        </w:rPr>
        <w:t>；</w:t>
      </w:r>
    </w:p>
    <w:p w14:paraId="4D0C2F2A">
      <w:pPr>
        <w:pStyle w:val="51"/>
        <w:numPr>
          <w:ilvl w:val="0"/>
          <w:numId w:val="0"/>
        </w:numPr>
        <w:spacing w:line="360" w:lineRule="auto"/>
        <w:ind w:left="105" w:leftChars="50" w:firstLine="315" w:firstLineChars="150"/>
      </w:pPr>
      <w:r>
        <w:rPr>
          <w:rFonts w:hint="eastAsia" w:ascii="等线" w:hAnsi="等线"/>
          <w:szCs w:val="21"/>
        </w:rPr>
        <w:t xml:space="preserve">d) </w:t>
      </w:r>
      <w:r>
        <w:rPr>
          <w:rFonts w:hint="eastAsia"/>
        </w:rPr>
        <w:t>光纤网络通信数据丢包率应小于</w:t>
      </w:r>
      <w:r>
        <w:t>0.1%</w:t>
      </w:r>
      <w:r>
        <w:rPr>
          <w:rFonts w:hint="eastAsia"/>
        </w:rPr>
        <w:t>；WiFi网络通信数据丢包率应小于</w:t>
      </w:r>
      <w:r>
        <w:t>0.1%</w:t>
      </w:r>
      <w:r>
        <w:rPr>
          <w:rFonts w:hint="eastAsia"/>
        </w:rPr>
        <w:t>；</w:t>
      </w:r>
    </w:p>
    <w:p w14:paraId="0650D331">
      <w:pPr>
        <w:pStyle w:val="51"/>
        <w:numPr>
          <w:ilvl w:val="0"/>
          <w:numId w:val="0"/>
        </w:numPr>
        <w:spacing w:line="360" w:lineRule="auto"/>
        <w:ind w:left="105" w:leftChars="50" w:firstLine="315" w:firstLineChars="150"/>
      </w:pPr>
      <w:r>
        <w:rPr>
          <w:rFonts w:hint="eastAsia" w:ascii="等线" w:hAnsi="等线"/>
          <w:szCs w:val="21"/>
        </w:rPr>
        <w:t xml:space="preserve">e) </w:t>
      </w:r>
      <w:r>
        <w:rPr>
          <w:rFonts w:hint="eastAsia"/>
        </w:rPr>
        <w:t>接收机端设置安全协议；数据接收服务器端设置网络安全协议。</w:t>
      </w:r>
    </w:p>
    <w:p w14:paraId="71BD7051">
      <w:pPr>
        <w:pStyle w:val="6"/>
        <w:spacing w:before="0" w:after="0" w:line="360" w:lineRule="auto"/>
      </w:pPr>
      <w:bookmarkStart w:id="167" w:name="_Toc4760"/>
      <w:bookmarkStart w:id="168" w:name="_Toc187827494"/>
      <w:bookmarkStart w:id="169" w:name="_Toc12773"/>
      <w:bookmarkStart w:id="170" w:name="_Toc16889"/>
      <w:r>
        <w:rPr>
          <w:rFonts w:hint="eastAsia"/>
        </w:rPr>
        <w:t>7.3.4  软件调试</w:t>
      </w:r>
      <w:bookmarkEnd w:id="167"/>
      <w:bookmarkEnd w:id="168"/>
      <w:bookmarkEnd w:id="169"/>
      <w:bookmarkEnd w:id="170"/>
    </w:p>
    <w:p w14:paraId="4102AB34">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.3.4</w:t>
      </w:r>
      <w:r>
        <w:rPr>
          <w:rFonts w:hint="eastAsia" w:asciiTheme="minorEastAsia" w:hAnsiTheme="minorEastAsia" w:eastAsiaTheme="minorEastAsia"/>
        </w:rPr>
        <w:t>.1</w:t>
      </w:r>
      <w:r>
        <w:rPr>
          <w:rFonts w:asciiTheme="minorEastAsia" w:hAnsiTheme="minorEastAsia" w:eastAsiaTheme="minorEastAsia"/>
        </w:rPr>
        <w:t xml:space="preserve">  </w:t>
      </w:r>
      <w:r>
        <w:rPr>
          <w:rFonts w:hint="eastAsia" w:asciiTheme="minorEastAsia" w:hAnsiTheme="minorEastAsia" w:eastAsiaTheme="minorEastAsia"/>
        </w:rPr>
        <w:t>软件调试包括卫星高度角、数据采样间隔、解算时段长度及成果输出间隔等参数的设定。</w:t>
      </w:r>
    </w:p>
    <w:p w14:paraId="020CAD37">
      <w:pPr>
        <w:pStyle w:val="46"/>
        <w:numPr>
          <w:ilvl w:val="0"/>
          <w:numId w:val="0"/>
        </w:numPr>
        <w:spacing w:line="30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 xml:space="preserve">.3.4.2  </w:t>
      </w:r>
      <w:r>
        <w:rPr>
          <w:rFonts w:hint="eastAsia" w:ascii="等线" w:hAnsi="等线"/>
          <w:szCs w:val="21"/>
        </w:rPr>
        <w:t>软件安装调试完成后，系统应具备北斗数据采集、北斗基线解算、北斗变形监测结果输出等功能。</w:t>
      </w:r>
    </w:p>
    <w:p w14:paraId="48F6AC20">
      <w:pPr>
        <w:pStyle w:val="6"/>
        <w:spacing w:before="0" w:after="0" w:line="360" w:lineRule="auto"/>
      </w:pPr>
      <w:bookmarkStart w:id="171" w:name="_Toc25401"/>
      <w:bookmarkStart w:id="172" w:name="_Toc270"/>
      <w:bookmarkStart w:id="173" w:name="_Toc18395"/>
      <w:bookmarkStart w:id="174" w:name="_Toc187827495"/>
      <w:r>
        <w:rPr>
          <w:rFonts w:hint="eastAsia"/>
        </w:rPr>
        <w:t>7.3.5  系统试运行</w:t>
      </w:r>
      <w:bookmarkEnd w:id="171"/>
      <w:bookmarkEnd w:id="172"/>
      <w:bookmarkEnd w:id="173"/>
      <w:bookmarkEnd w:id="174"/>
    </w:p>
    <w:p w14:paraId="14BF0FBA">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.3.5</w:t>
      </w:r>
      <w:r>
        <w:rPr>
          <w:rFonts w:hint="eastAsia" w:asciiTheme="minorEastAsia" w:hAnsiTheme="minorEastAsia" w:eastAsiaTheme="minorEastAsia"/>
        </w:rPr>
        <w:t>.1</w:t>
      </w:r>
      <w:r>
        <w:rPr>
          <w:rFonts w:asciiTheme="minorEastAsia" w:hAnsiTheme="minorEastAsia" w:eastAsiaTheme="minorEastAsia"/>
        </w:rPr>
        <w:t xml:space="preserve">  </w:t>
      </w:r>
      <w:r>
        <w:rPr>
          <w:rFonts w:hint="eastAsia" w:asciiTheme="minorEastAsia" w:hAnsiTheme="minorEastAsia" w:eastAsiaTheme="minorEastAsia"/>
        </w:rPr>
        <w:t>系统试运行前，应对所有站点进行不低于</w:t>
      </w:r>
      <w:r>
        <w:rPr>
          <w:rFonts w:asciiTheme="minorEastAsia" w:hAnsiTheme="minorEastAsia" w:eastAsiaTheme="minorEastAsia"/>
        </w:rPr>
        <w:t>3</w:t>
      </w:r>
      <w:r>
        <w:rPr>
          <w:rFonts w:hint="eastAsia" w:asciiTheme="minorEastAsia" w:hAnsiTheme="minorEastAsia" w:eastAsiaTheme="minorEastAsia"/>
        </w:rPr>
        <w:t>天的数据连续接收测试，并对接收数据进行多种时段长度解算和精度测算，系统</w:t>
      </w:r>
      <w:r>
        <w:rPr>
          <w:rFonts w:asciiTheme="minorEastAsia" w:hAnsiTheme="minorEastAsia" w:eastAsiaTheme="minorEastAsia"/>
        </w:rPr>
        <w:t>24h</w:t>
      </w:r>
      <w:r>
        <w:rPr>
          <w:rFonts w:hint="eastAsia" w:asciiTheme="minorEastAsia" w:hAnsiTheme="minorEastAsia" w:eastAsiaTheme="minorEastAsia"/>
        </w:rPr>
        <w:t>时长解算每日产出监测点三维变形量的监测精度应满足5.2的要求。</w:t>
      </w:r>
    </w:p>
    <w:p w14:paraId="65D9DA3E">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7.3.5.2  系统试运行应满足下列要求：</w:t>
      </w:r>
    </w:p>
    <w:p w14:paraId="10A923CE">
      <w:pPr>
        <w:pStyle w:val="51"/>
        <w:numPr>
          <w:ilvl w:val="0"/>
          <w:numId w:val="11"/>
        </w:numPr>
        <w:spacing w:line="360" w:lineRule="auto"/>
      </w:pPr>
      <w:r>
        <w:t>4</w:t>
      </w:r>
      <w:r>
        <w:rPr>
          <w:rFonts w:hint="eastAsia"/>
        </w:rPr>
        <w:t>小时产出监测点三维变形量，水平方向变形监测精度优于2.5</w:t>
      </w:r>
      <w:r>
        <w:t>mm</w:t>
      </w:r>
      <w:r>
        <w:rPr>
          <w:rFonts w:hint="eastAsia"/>
        </w:rPr>
        <w:t>（</w:t>
      </w:r>
      <w:r>
        <w:t>RMS</w:t>
      </w:r>
      <w:r>
        <w:rPr>
          <w:rFonts w:hint="eastAsia"/>
        </w:rPr>
        <w:t>）；</w:t>
      </w:r>
    </w:p>
    <w:p w14:paraId="21976209">
      <w:pPr>
        <w:pStyle w:val="51"/>
        <w:numPr>
          <w:ilvl w:val="0"/>
          <w:numId w:val="11"/>
        </w:numPr>
        <w:spacing w:line="360" w:lineRule="auto"/>
      </w:pPr>
      <w:r>
        <w:rPr>
          <w:rFonts w:hint="eastAsia"/>
        </w:rPr>
        <w:t>每日（</w:t>
      </w:r>
      <w:r>
        <w:t>24</w:t>
      </w:r>
      <w:r>
        <w:rPr>
          <w:rFonts w:hint="eastAsia"/>
        </w:rPr>
        <w:t>小时）产出监测点三维变形量，水平方向变形监测精度优于2.5</w:t>
      </w:r>
      <w:r>
        <w:t>mm</w:t>
      </w:r>
      <w:r>
        <w:rPr>
          <w:rFonts w:hint="eastAsia"/>
        </w:rPr>
        <w:t>（</w:t>
      </w:r>
      <w:r>
        <w:t>RMS</w:t>
      </w:r>
      <w:r>
        <w:rPr>
          <w:rFonts w:hint="eastAsia"/>
        </w:rPr>
        <w:t>），垂直方向变形监测精度优于5</w:t>
      </w:r>
      <w:r>
        <w:t>mm</w:t>
      </w:r>
      <w:r>
        <w:rPr>
          <w:rFonts w:hint="eastAsia"/>
        </w:rPr>
        <w:t>（</w:t>
      </w:r>
      <w:r>
        <w:t>RMS</w:t>
      </w:r>
      <w:r>
        <w:rPr>
          <w:rFonts w:hint="eastAsia"/>
        </w:rPr>
        <w:t>）；</w:t>
      </w:r>
    </w:p>
    <w:p w14:paraId="2AE0DD51">
      <w:pPr>
        <w:pStyle w:val="51"/>
        <w:numPr>
          <w:ilvl w:val="0"/>
          <w:numId w:val="11"/>
        </w:numPr>
        <w:spacing w:line="360" w:lineRule="auto"/>
      </w:pPr>
      <w:r>
        <w:rPr>
          <w:rFonts w:hint="eastAsia"/>
        </w:rPr>
        <w:t>可采用模拟变形或人工对比观测手段验证系统精度。</w:t>
      </w:r>
    </w:p>
    <w:p w14:paraId="372C4341">
      <w:pPr>
        <w:pStyle w:val="46"/>
        <w:numPr>
          <w:ilvl w:val="0"/>
          <w:numId w:val="0"/>
        </w:numPr>
        <w:spacing w:line="360" w:lineRule="auto"/>
        <w:rPr>
          <w:rFonts w:asciiTheme="minorEastAsia" w:hAnsiTheme="minorEastAsia" w:eastAsiaTheme="minorEastAsia"/>
        </w:rPr>
      </w:pPr>
      <w:r>
        <w:rPr>
          <w:rFonts w:hint="eastAsia" w:asciiTheme="minorEastAsia" w:hAnsiTheme="minorEastAsia" w:eastAsiaTheme="minorEastAsia"/>
        </w:rPr>
        <w:t>7.3.5.3  系统完好性应满足下列要求：</w:t>
      </w:r>
    </w:p>
    <w:p w14:paraId="12A4F475">
      <w:pPr>
        <w:pStyle w:val="51"/>
        <w:numPr>
          <w:ilvl w:val="0"/>
          <w:numId w:val="12"/>
        </w:numPr>
        <w:spacing w:line="360" w:lineRule="auto"/>
      </w:pPr>
      <w:r>
        <w:rPr>
          <w:rFonts w:hint="eastAsia"/>
        </w:rPr>
        <w:t>北斗接收机自主完好性；</w:t>
      </w:r>
    </w:p>
    <w:p w14:paraId="30D60276">
      <w:pPr>
        <w:pStyle w:val="51"/>
        <w:numPr>
          <w:ilvl w:val="0"/>
          <w:numId w:val="12"/>
        </w:numPr>
        <w:spacing w:line="360" w:lineRule="auto"/>
      </w:pPr>
      <w:r>
        <w:rPr>
          <w:rFonts w:hint="eastAsia"/>
        </w:rPr>
        <w:t>网络通信性能完好性；</w:t>
      </w:r>
    </w:p>
    <w:p w14:paraId="4099AADF">
      <w:pPr>
        <w:pStyle w:val="51"/>
        <w:numPr>
          <w:ilvl w:val="0"/>
          <w:numId w:val="12"/>
        </w:numPr>
        <w:spacing w:line="360" w:lineRule="auto"/>
      </w:pPr>
      <w:r>
        <w:rPr>
          <w:rFonts w:hint="eastAsia"/>
        </w:rPr>
        <w:t>卫星信号完好性；</w:t>
      </w:r>
    </w:p>
    <w:p w14:paraId="6202BD89">
      <w:pPr>
        <w:pStyle w:val="51"/>
        <w:numPr>
          <w:ilvl w:val="0"/>
          <w:numId w:val="12"/>
        </w:numPr>
        <w:spacing w:line="360" w:lineRule="auto"/>
      </w:pPr>
      <w:r>
        <w:rPr>
          <w:rFonts w:hint="eastAsia"/>
        </w:rPr>
        <w:t>数据质量完好性；</w:t>
      </w:r>
    </w:p>
    <w:p w14:paraId="0E6F05F8">
      <w:pPr>
        <w:pStyle w:val="51"/>
        <w:numPr>
          <w:ilvl w:val="0"/>
          <w:numId w:val="12"/>
        </w:numPr>
        <w:spacing w:line="360" w:lineRule="auto"/>
      </w:pPr>
      <w:r>
        <w:rPr>
          <w:rFonts w:hint="eastAsia"/>
        </w:rPr>
        <w:t>硬件平台完好性；</w:t>
      </w:r>
    </w:p>
    <w:p w14:paraId="2F95EC7A">
      <w:pPr>
        <w:pStyle w:val="51"/>
        <w:numPr>
          <w:ilvl w:val="0"/>
          <w:numId w:val="12"/>
        </w:numPr>
        <w:spacing w:line="360" w:lineRule="auto"/>
      </w:pPr>
      <w:r>
        <w:rPr>
          <w:rFonts w:hint="eastAsia"/>
        </w:rPr>
        <w:t>用户定位状态可靠性。</w:t>
      </w:r>
    </w:p>
    <w:p w14:paraId="1C6C2252">
      <w:pPr>
        <w:pStyle w:val="46"/>
        <w:numPr>
          <w:ilvl w:val="0"/>
          <w:numId w:val="0"/>
        </w:numPr>
        <w:spacing w:line="360" w:lineRule="auto"/>
        <w:rPr>
          <w:rFonts w:asciiTheme="minorEastAsia" w:hAnsiTheme="minorEastAsia" w:eastAsiaTheme="minorEastAsia"/>
        </w:rPr>
      </w:pPr>
      <w:bookmarkStart w:id="175" w:name="OLE_LINK30"/>
      <w:r>
        <w:rPr>
          <w:rFonts w:hint="eastAsia" w:asciiTheme="minorEastAsia" w:hAnsiTheme="minorEastAsia" w:eastAsiaTheme="minorEastAsia"/>
        </w:rPr>
        <w:t>7.3.5.4  系统日志要求如下：</w:t>
      </w:r>
    </w:p>
    <w:p w14:paraId="2046C4E2">
      <w:pPr>
        <w:pStyle w:val="51"/>
        <w:numPr>
          <w:ilvl w:val="0"/>
          <w:numId w:val="13"/>
        </w:numPr>
        <w:spacing w:line="360" w:lineRule="auto"/>
      </w:pPr>
      <w:r>
        <w:rPr>
          <w:rFonts w:hint="eastAsia"/>
        </w:rPr>
        <w:t>接收机故障日志；</w:t>
      </w:r>
    </w:p>
    <w:p w14:paraId="207E8160">
      <w:pPr>
        <w:pStyle w:val="51"/>
        <w:numPr>
          <w:ilvl w:val="0"/>
          <w:numId w:val="13"/>
        </w:numPr>
        <w:spacing w:line="360" w:lineRule="auto"/>
      </w:pPr>
      <w:r>
        <w:rPr>
          <w:rFonts w:hint="eastAsia"/>
        </w:rPr>
        <w:t>基线解算结果日志；</w:t>
      </w:r>
      <w:r>
        <w:t xml:space="preserve"> </w:t>
      </w:r>
    </w:p>
    <w:p w14:paraId="60573E72">
      <w:pPr>
        <w:pStyle w:val="51"/>
        <w:numPr>
          <w:ilvl w:val="0"/>
          <w:numId w:val="13"/>
        </w:numPr>
        <w:spacing w:line="360" w:lineRule="auto"/>
      </w:pPr>
      <w:r>
        <w:rPr>
          <w:rFonts w:hint="eastAsia"/>
        </w:rPr>
        <w:t>变形监测结果日志；</w:t>
      </w:r>
    </w:p>
    <w:p w14:paraId="77E82A4F">
      <w:pPr>
        <w:pStyle w:val="51"/>
        <w:numPr>
          <w:ilvl w:val="0"/>
          <w:numId w:val="13"/>
        </w:numPr>
        <w:spacing w:line="360" w:lineRule="auto"/>
      </w:pPr>
      <w:r>
        <w:rPr>
          <w:rFonts w:hint="eastAsia"/>
        </w:rPr>
        <w:t>网络通信状态日志；</w:t>
      </w:r>
    </w:p>
    <w:p w14:paraId="4E54E71F">
      <w:pPr>
        <w:pStyle w:val="51"/>
        <w:numPr>
          <w:ilvl w:val="0"/>
          <w:numId w:val="13"/>
        </w:numPr>
        <w:spacing w:line="360" w:lineRule="auto"/>
      </w:pPr>
      <w:r>
        <w:rPr>
          <w:rFonts w:hint="eastAsia"/>
        </w:rPr>
        <w:t>用户使用情况报表；</w:t>
      </w:r>
    </w:p>
    <w:p w14:paraId="4922BA7A">
      <w:pPr>
        <w:pStyle w:val="51"/>
        <w:numPr>
          <w:ilvl w:val="0"/>
          <w:numId w:val="13"/>
        </w:numPr>
        <w:spacing w:line="360" w:lineRule="auto"/>
      </w:pPr>
      <w:r>
        <w:rPr>
          <w:rFonts w:hint="eastAsia"/>
        </w:rPr>
        <w:t>硬件设备故障日志；</w:t>
      </w:r>
    </w:p>
    <w:p w14:paraId="17E71AB1">
      <w:pPr>
        <w:pStyle w:val="51"/>
        <w:numPr>
          <w:ilvl w:val="0"/>
          <w:numId w:val="13"/>
        </w:numPr>
        <w:spacing w:line="360" w:lineRule="auto"/>
        <w:rPr>
          <w:rFonts w:asciiTheme="minorEastAsia" w:hAnsiTheme="minorEastAsia" w:eastAsiaTheme="minorEastAsia"/>
        </w:rPr>
      </w:pPr>
      <w:r>
        <w:rPr>
          <w:rFonts w:hint="eastAsia"/>
        </w:rPr>
        <w:t>系统异常状况统计报表。</w:t>
      </w:r>
      <w:bookmarkEnd w:id="175"/>
    </w:p>
    <w:bookmarkEnd w:id="110"/>
    <w:p w14:paraId="48B9E632">
      <w:pPr>
        <w:pStyle w:val="4"/>
        <w:spacing w:before="0" w:after="0"/>
        <w:rPr>
          <w:rFonts w:ascii="黑体" w:hAnsi="黑体" w:eastAsia="黑体" w:cs="Times New Roman"/>
          <w:b w:val="0"/>
          <w:kern w:val="0"/>
          <w:sz w:val="21"/>
          <w:szCs w:val="21"/>
        </w:rPr>
      </w:pPr>
      <w:bookmarkStart w:id="176" w:name="_Toc11106"/>
      <w:bookmarkStart w:id="177" w:name="_Toc32309"/>
      <w:bookmarkStart w:id="178" w:name="_Toc187827496"/>
      <w:bookmarkStart w:id="179" w:name="_Toc166316681"/>
      <w:r>
        <w:rPr>
          <w:rFonts w:hint="eastAsia" w:ascii="黑体" w:hAnsi="黑体" w:eastAsia="黑体" w:cs="Times New Roman"/>
          <w:b w:val="0"/>
          <w:kern w:val="0"/>
          <w:sz w:val="21"/>
          <w:szCs w:val="21"/>
        </w:rPr>
        <w:t>8</w:t>
      </w:r>
      <w:r>
        <w:rPr>
          <w:rFonts w:ascii="黑体" w:hAnsi="黑体" w:eastAsia="黑体" w:cs="Times New Roman"/>
          <w:b w:val="0"/>
          <w:kern w:val="0"/>
          <w:sz w:val="21"/>
          <w:szCs w:val="21"/>
        </w:rPr>
        <w:t xml:space="preserve">  运行维护</w:t>
      </w:r>
      <w:bookmarkEnd w:id="176"/>
      <w:bookmarkEnd w:id="177"/>
      <w:bookmarkEnd w:id="178"/>
      <w:bookmarkEnd w:id="179"/>
    </w:p>
    <w:p w14:paraId="5A09135A">
      <w:pPr>
        <w:pStyle w:val="5"/>
        <w:spacing w:before="0" w:after="0" w:line="360" w:lineRule="auto"/>
        <w:rPr>
          <w:rFonts w:ascii="黑体" w:hAnsi="黑体" w:cs="Times New Roman"/>
          <w:szCs w:val="21"/>
        </w:rPr>
      </w:pPr>
      <w:bookmarkStart w:id="180" w:name="_Toc187827497"/>
      <w:bookmarkStart w:id="181" w:name="_Toc22215"/>
      <w:bookmarkStart w:id="182" w:name="_Toc22137"/>
      <w:r>
        <w:rPr>
          <w:rFonts w:hint="eastAsia" w:ascii="黑体" w:hAnsi="黑体" w:eastAsia="黑体" w:cs="Times New Roman"/>
          <w:b w:val="0"/>
          <w:sz w:val="21"/>
          <w:szCs w:val="21"/>
        </w:rPr>
        <w:t>8</w:t>
      </w:r>
      <w:r>
        <w:rPr>
          <w:rFonts w:ascii="黑体" w:hAnsi="黑体" w:eastAsia="黑体" w:cs="Times New Roman"/>
          <w:b w:val="0"/>
          <w:sz w:val="21"/>
          <w:szCs w:val="21"/>
        </w:rPr>
        <w:t xml:space="preserve">.1  </w:t>
      </w:r>
      <w:r>
        <w:rPr>
          <w:rFonts w:hint="eastAsia" w:ascii="黑体" w:hAnsi="黑体" w:eastAsia="黑体" w:cs="Times New Roman"/>
          <w:b w:val="0"/>
          <w:sz w:val="21"/>
          <w:szCs w:val="21"/>
        </w:rPr>
        <w:t>一般规定</w:t>
      </w:r>
      <w:bookmarkEnd w:id="180"/>
      <w:bookmarkEnd w:id="181"/>
      <w:bookmarkEnd w:id="182"/>
    </w:p>
    <w:p w14:paraId="79BACB40">
      <w:pPr>
        <w:pStyle w:val="46"/>
        <w:numPr>
          <w:ilvl w:val="0"/>
          <w:numId w:val="0"/>
        </w:numPr>
        <w:spacing w:line="360" w:lineRule="auto"/>
      </w:pPr>
      <w:r>
        <w:rPr>
          <w:rFonts w:hint="eastAsia"/>
        </w:rPr>
        <w:t xml:space="preserve">8.1.1 </w:t>
      </w:r>
      <w:r>
        <w:t xml:space="preserve"> </w:t>
      </w:r>
      <w:r>
        <w:rPr>
          <w:rFonts w:hint="eastAsia"/>
        </w:rPr>
        <w:t>设备维护方法应简单易于实施。</w:t>
      </w:r>
    </w:p>
    <w:p w14:paraId="620187FB">
      <w:pPr>
        <w:pStyle w:val="46"/>
        <w:numPr>
          <w:ilvl w:val="0"/>
          <w:numId w:val="0"/>
        </w:numPr>
        <w:spacing w:line="360" w:lineRule="auto"/>
      </w:pPr>
      <w:r>
        <w:rPr>
          <w:rFonts w:hint="eastAsia"/>
        </w:rPr>
        <w:t>8.1.2</w:t>
      </w:r>
      <w:r>
        <w:t xml:space="preserve">  </w:t>
      </w:r>
      <w:r>
        <w:rPr>
          <w:rFonts w:hint="eastAsia"/>
        </w:rPr>
        <w:t>应制定完善的设备维护计划，定期对设备进行维护，应定期检查、检测的内容如下：</w:t>
      </w:r>
    </w:p>
    <w:p w14:paraId="354ECD73">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a) </w:t>
      </w:r>
      <w:r>
        <w:rPr>
          <w:rFonts w:hint="eastAsia" w:cs="Times New Roman" w:asciiTheme="minorEastAsia" w:hAnsiTheme="minorEastAsia"/>
          <w:kern w:val="0"/>
          <w:szCs w:val="21"/>
        </w:rPr>
        <w:t>汛前、汛后应对系统进行定期全面维护；</w:t>
      </w:r>
    </w:p>
    <w:p w14:paraId="4A6358C6">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b) </w:t>
      </w:r>
      <w:r>
        <w:rPr>
          <w:rFonts w:hint="eastAsia" w:cs="Times New Roman" w:asciiTheme="minorEastAsia" w:hAnsiTheme="minorEastAsia"/>
          <w:kern w:val="0"/>
          <w:szCs w:val="21"/>
        </w:rPr>
        <w:t>系统投运初期，应根据运行状况增加检查次数；</w:t>
      </w:r>
    </w:p>
    <w:p w14:paraId="70048768">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c) </w:t>
      </w:r>
      <w:r>
        <w:rPr>
          <w:rFonts w:hint="eastAsia" w:cs="Times New Roman" w:asciiTheme="minorEastAsia" w:hAnsiTheme="minorEastAsia"/>
          <w:kern w:val="0"/>
          <w:szCs w:val="21"/>
        </w:rPr>
        <w:t>定期进行现场巡视检查，查看监测设备状态、电源电压、电线电缆和设备工作环境变化情况；</w:t>
      </w:r>
    </w:p>
    <w:p w14:paraId="46454A1B">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d) </w:t>
      </w:r>
      <w:r>
        <w:rPr>
          <w:rFonts w:hint="eastAsia" w:cs="Times New Roman" w:asciiTheme="minorEastAsia" w:hAnsiTheme="minorEastAsia"/>
          <w:kern w:val="0"/>
          <w:szCs w:val="21"/>
        </w:rPr>
        <w:t>基准站和监测站的防雷接地电阻宜定期检测；</w:t>
      </w:r>
    </w:p>
    <w:p w14:paraId="0ED6F5D1">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e) </w:t>
      </w:r>
      <w:r>
        <w:rPr>
          <w:rFonts w:hint="eastAsia" w:cs="Times New Roman" w:asciiTheme="minorEastAsia" w:hAnsiTheme="minorEastAsia"/>
          <w:kern w:val="0"/>
          <w:szCs w:val="21"/>
        </w:rPr>
        <w:t>应定期验证系统软件数据采集、存储、处理、分析及信息管理和软件安全性等；</w:t>
      </w:r>
    </w:p>
    <w:p w14:paraId="7DE679ED">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f) </w:t>
      </w:r>
      <w:r>
        <w:rPr>
          <w:rFonts w:hint="eastAsia" w:cs="Times New Roman" w:asciiTheme="minorEastAsia" w:hAnsiTheme="minorEastAsia"/>
          <w:kern w:val="0"/>
          <w:szCs w:val="21"/>
        </w:rPr>
        <w:t>应定期检查数据采集和存储状态；</w:t>
      </w:r>
    </w:p>
    <w:p w14:paraId="7FA7ABFF">
      <w:pPr>
        <w:spacing w:line="360" w:lineRule="auto"/>
        <w:ind w:left="840" w:leftChars="200" w:hanging="420" w:hangingChars="200"/>
        <w:rPr>
          <w:rFonts w:asciiTheme="minorEastAsia" w:hAnsiTheme="minorEastAsia"/>
          <w:szCs w:val="21"/>
        </w:rPr>
      </w:pPr>
      <w:r>
        <w:rPr>
          <w:rFonts w:cs="Times New Roman" w:asciiTheme="minorEastAsia" w:hAnsiTheme="minorEastAsia"/>
          <w:kern w:val="0"/>
          <w:szCs w:val="21"/>
        </w:rPr>
        <w:t xml:space="preserve">g) </w:t>
      </w:r>
      <w:r>
        <w:rPr>
          <w:rFonts w:hint="eastAsia" w:cs="Times New Roman" w:asciiTheme="minorEastAsia" w:hAnsiTheme="minorEastAsia"/>
          <w:kern w:val="0"/>
          <w:szCs w:val="21"/>
        </w:rPr>
        <w:t>应定期应完成原始数据整理和备份工作。</w:t>
      </w:r>
    </w:p>
    <w:p w14:paraId="160DCB50">
      <w:pPr>
        <w:pStyle w:val="46"/>
        <w:numPr>
          <w:ilvl w:val="0"/>
          <w:numId w:val="0"/>
        </w:numPr>
        <w:spacing w:line="360" w:lineRule="auto"/>
      </w:pPr>
      <w:r>
        <w:rPr>
          <w:rFonts w:hint="eastAsia"/>
        </w:rPr>
        <w:t>8.1.3</w:t>
      </w:r>
      <w:r>
        <w:t xml:space="preserve">  </w:t>
      </w:r>
      <w:r>
        <w:rPr>
          <w:rFonts w:hint="eastAsia"/>
        </w:rPr>
        <w:t>检查监测设备内部是否过于潮湿，及时更换干燥剂，应定时通风、驱赶潮气。</w:t>
      </w:r>
    </w:p>
    <w:p w14:paraId="2EB14A11">
      <w:pPr>
        <w:pStyle w:val="46"/>
        <w:numPr>
          <w:ilvl w:val="0"/>
          <w:numId w:val="0"/>
        </w:numPr>
        <w:spacing w:line="360" w:lineRule="auto"/>
      </w:pPr>
      <w:r>
        <w:rPr>
          <w:rFonts w:hint="eastAsia"/>
        </w:rPr>
        <w:t>8</w:t>
      </w:r>
      <w:r>
        <w:t>.</w:t>
      </w:r>
      <w:r>
        <w:rPr>
          <w:rFonts w:hint="eastAsia"/>
        </w:rPr>
        <w:t>1.</w:t>
      </w:r>
      <w:r>
        <w:t xml:space="preserve">4  </w:t>
      </w:r>
      <w:r>
        <w:rPr>
          <w:rFonts w:hint="eastAsia"/>
        </w:rPr>
        <w:t>数据采集检查内容包括采集模块通讯、时钟和采集周期、数据采集情况、数据信息分析等。</w:t>
      </w:r>
    </w:p>
    <w:p w14:paraId="4FA93253">
      <w:pPr>
        <w:pStyle w:val="46"/>
        <w:numPr>
          <w:ilvl w:val="0"/>
          <w:numId w:val="0"/>
        </w:numPr>
        <w:spacing w:line="360" w:lineRule="auto"/>
      </w:pPr>
      <w:r>
        <w:rPr>
          <w:rFonts w:hint="eastAsia"/>
        </w:rPr>
        <w:t>8</w:t>
      </w:r>
      <w:r>
        <w:t>.</w:t>
      </w:r>
      <w:r>
        <w:rPr>
          <w:rFonts w:hint="eastAsia"/>
        </w:rPr>
        <w:t>1.</w:t>
      </w:r>
      <w:r>
        <w:t xml:space="preserve">5  </w:t>
      </w:r>
      <w:r>
        <w:rPr>
          <w:rFonts w:hint="eastAsia"/>
        </w:rPr>
        <w:t>系统升级或 系统功能完善后，应在服务器上进行更新。软件维护过程中应形成运行日志。</w:t>
      </w:r>
    </w:p>
    <w:p w14:paraId="5F8A88B7">
      <w:pPr>
        <w:pStyle w:val="46"/>
        <w:numPr>
          <w:ilvl w:val="0"/>
          <w:numId w:val="0"/>
        </w:numPr>
        <w:spacing w:line="360" w:lineRule="auto"/>
      </w:pPr>
      <w:r>
        <w:rPr>
          <w:rFonts w:hint="eastAsia"/>
        </w:rPr>
        <w:t>8</w:t>
      </w:r>
      <w:r>
        <w:t>.</w:t>
      </w:r>
      <w:r>
        <w:rPr>
          <w:rFonts w:hint="eastAsia"/>
        </w:rPr>
        <w:t>1.</w:t>
      </w:r>
      <w:r>
        <w:t xml:space="preserve">6  </w:t>
      </w:r>
      <w:r>
        <w:rPr>
          <w:rFonts w:hint="eastAsia"/>
        </w:rPr>
        <w:t>监测数据发生异常、 规律发生改变或定期测试数据异常时，应分析原因，对设备进行检查维护或检验标定。</w:t>
      </w:r>
    </w:p>
    <w:p w14:paraId="1A5AB289">
      <w:pPr>
        <w:pStyle w:val="46"/>
        <w:numPr>
          <w:ilvl w:val="0"/>
          <w:numId w:val="0"/>
        </w:numPr>
        <w:spacing w:line="360" w:lineRule="auto"/>
      </w:pPr>
      <w:r>
        <w:rPr>
          <w:rFonts w:hint="eastAsia"/>
        </w:rPr>
        <w:t>8</w:t>
      </w:r>
      <w:r>
        <w:t>.</w:t>
      </w:r>
      <w:r>
        <w:rPr>
          <w:rFonts w:hint="eastAsia"/>
        </w:rPr>
        <w:t>1.</w:t>
      </w:r>
      <w:r>
        <w:t xml:space="preserve">7  </w:t>
      </w:r>
      <w:r>
        <w:rPr>
          <w:rFonts w:hint="eastAsia"/>
        </w:rPr>
        <w:t>通讯故障应检查软硬件设置、线缆连接、通讯干扰、网络信号等。</w:t>
      </w:r>
    </w:p>
    <w:p w14:paraId="39A5E5EF">
      <w:pPr>
        <w:pStyle w:val="46"/>
        <w:numPr>
          <w:ilvl w:val="0"/>
          <w:numId w:val="0"/>
        </w:numPr>
        <w:spacing w:line="360" w:lineRule="auto"/>
      </w:pPr>
      <w:r>
        <w:rPr>
          <w:rFonts w:hint="eastAsia"/>
        </w:rPr>
        <w:t>8</w:t>
      </w:r>
      <w:r>
        <w:t>.</w:t>
      </w:r>
      <w:r>
        <w:rPr>
          <w:rFonts w:hint="eastAsia"/>
        </w:rPr>
        <w:t>1.</w:t>
      </w:r>
      <w:r>
        <w:t xml:space="preserve">8  </w:t>
      </w:r>
      <w:r>
        <w:rPr>
          <w:rFonts w:hint="eastAsia"/>
        </w:rPr>
        <w:t>主要硬件设备或易损件应有足量的备品备件，满足平均维修时间小于24h。</w:t>
      </w:r>
    </w:p>
    <w:p w14:paraId="3B9F02ED">
      <w:pPr>
        <w:pStyle w:val="46"/>
        <w:numPr>
          <w:ilvl w:val="0"/>
          <w:numId w:val="0"/>
        </w:numPr>
        <w:spacing w:line="360" w:lineRule="auto"/>
      </w:pPr>
      <w:r>
        <w:rPr>
          <w:rFonts w:hint="eastAsia"/>
        </w:rPr>
        <w:t>8</w:t>
      </w:r>
      <w:r>
        <w:t>.</w:t>
      </w:r>
      <w:r>
        <w:rPr>
          <w:rFonts w:hint="eastAsia"/>
        </w:rPr>
        <w:t>1.</w:t>
      </w:r>
      <w:r>
        <w:t xml:space="preserve">9  </w:t>
      </w:r>
      <w:r>
        <w:rPr>
          <w:rFonts w:hint="eastAsia"/>
        </w:rPr>
        <w:t>监测设备故障应根据故障自诊断程序确定，分析原因，并及时更换故障部件恢复系统运行。核查参数信息，记录检修维护档案。</w:t>
      </w:r>
    </w:p>
    <w:p w14:paraId="42B48EFB">
      <w:pPr>
        <w:pStyle w:val="28"/>
        <w:spacing w:line="360" w:lineRule="auto"/>
        <w:ind w:firstLine="0" w:firstLineChars="0"/>
      </w:pPr>
      <w:r>
        <w:rPr>
          <w:rFonts w:hint="eastAsia"/>
        </w:rPr>
        <w:t>8.1.10  监测系统的运行维护工作包括数据维护、软件维护、硬件维护等方面，按发生时间分日常维护、定期维护、应急维护等。</w:t>
      </w:r>
    </w:p>
    <w:p w14:paraId="16536539">
      <w:pPr>
        <w:pStyle w:val="5"/>
        <w:spacing w:before="0" w:after="0" w:line="360" w:lineRule="auto"/>
        <w:rPr>
          <w:rFonts w:ascii="黑体" w:hAnsi="黑体" w:cs="Times New Roman"/>
          <w:szCs w:val="21"/>
        </w:rPr>
      </w:pPr>
      <w:bookmarkStart w:id="183" w:name="_Toc962473"/>
      <w:bookmarkStart w:id="184" w:name="_Toc962422"/>
      <w:bookmarkStart w:id="185" w:name="_Toc962284"/>
      <w:bookmarkStart w:id="186" w:name="_Toc961074"/>
      <w:bookmarkStart w:id="187" w:name="_Toc961028"/>
      <w:bookmarkStart w:id="188" w:name="_Toc962576"/>
      <w:bookmarkStart w:id="189" w:name="_Toc29852"/>
      <w:bookmarkStart w:id="190" w:name="_Toc962236"/>
      <w:bookmarkStart w:id="191" w:name="_Toc27951"/>
      <w:bookmarkStart w:id="192" w:name="_Toc951521"/>
      <w:bookmarkStart w:id="193" w:name="_Toc14316"/>
      <w:bookmarkStart w:id="194" w:name="_Toc1661777"/>
      <w:bookmarkStart w:id="195" w:name="_Toc952019"/>
      <w:bookmarkStart w:id="196" w:name="_Toc1661828"/>
      <w:bookmarkStart w:id="197" w:name="_Toc962015"/>
      <w:bookmarkStart w:id="198" w:name="_Toc187827498"/>
      <w:bookmarkStart w:id="199" w:name="_Toc961881"/>
      <w:bookmarkStart w:id="200" w:name="_Toc951572"/>
      <w:r>
        <w:rPr>
          <w:rFonts w:hint="eastAsia" w:ascii="黑体" w:hAnsi="黑体" w:eastAsia="黑体" w:cs="Times New Roman"/>
          <w:b w:val="0"/>
          <w:sz w:val="21"/>
          <w:szCs w:val="21"/>
        </w:rPr>
        <w:t>8</w:t>
      </w:r>
      <w:r>
        <w:rPr>
          <w:rFonts w:ascii="黑体" w:hAnsi="黑体" w:eastAsia="黑体" w:cs="Times New Roman"/>
          <w:b w:val="0"/>
          <w:sz w:val="21"/>
          <w:szCs w:val="21"/>
        </w:rPr>
        <w:t xml:space="preserve">.2  </w:t>
      </w:r>
      <w:r>
        <w:rPr>
          <w:rFonts w:hint="eastAsia" w:ascii="黑体" w:hAnsi="黑体" w:eastAsia="黑体" w:cs="Times New Roman"/>
          <w:b w:val="0"/>
          <w:sz w:val="21"/>
          <w:szCs w:val="21"/>
        </w:rPr>
        <w:t>运维系统建立</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3287BB65">
      <w:pPr>
        <w:pStyle w:val="46"/>
        <w:numPr>
          <w:ilvl w:val="0"/>
          <w:numId w:val="0"/>
        </w:numPr>
        <w:spacing w:line="360" w:lineRule="auto"/>
      </w:pPr>
      <w:r>
        <w:rPr>
          <w:rFonts w:hint="eastAsia"/>
        </w:rPr>
        <w:t>8.2.1  应建立专门的运维系统，组织专业人员成立专业的运维部门，为系统运行提供保障。</w:t>
      </w:r>
    </w:p>
    <w:p w14:paraId="4521DA2B">
      <w:pPr>
        <w:pStyle w:val="46"/>
        <w:numPr>
          <w:ilvl w:val="0"/>
          <w:numId w:val="0"/>
        </w:numPr>
        <w:spacing w:line="360" w:lineRule="auto"/>
      </w:pPr>
      <w:r>
        <w:rPr>
          <w:rFonts w:hint="eastAsia"/>
        </w:rPr>
        <w:t>8.2.2  编写运维规范，明确人员分工、工作内容以及具体实施方法。</w:t>
      </w:r>
    </w:p>
    <w:p w14:paraId="6BB9B72B">
      <w:pPr>
        <w:pStyle w:val="46"/>
        <w:numPr>
          <w:ilvl w:val="0"/>
          <w:numId w:val="0"/>
        </w:numPr>
        <w:spacing w:line="360" w:lineRule="auto"/>
      </w:pPr>
      <w:r>
        <w:rPr>
          <w:rFonts w:hint="eastAsia"/>
        </w:rPr>
        <w:t>8.2.3  相关运维人员应定期组织培训，提高运维人员系统管理能力、故障排查能力以及问题解决能力。</w:t>
      </w:r>
    </w:p>
    <w:p w14:paraId="2138592D">
      <w:pPr>
        <w:pStyle w:val="5"/>
        <w:spacing w:before="0" w:after="0" w:line="360" w:lineRule="auto"/>
        <w:rPr>
          <w:rFonts w:ascii="黑体" w:hAnsi="黑体" w:cs="Times New Roman"/>
          <w:szCs w:val="21"/>
        </w:rPr>
      </w:pPr>
      <w:bookmarkStart w:id="201" w:name="_Toc961029"/>
      <w:bookmarkStart w:id="202" w:name="_Toc961882"/>
      <w:bookmarkStart w:id="203" w:name="_Toc1661829"/>
      <w:bookmarkStart w:id="204" w:name="_Toc962016"/>
      <w:bookmarkStart w:id="205" w:name="_Toc962423"/>
      <w:bookmarkStart w:id="206" w:name="_Toc962577"/>
      <w:bookmarkStart w:id="207" w:name="_Toc952020"/>
      <w:bookmarkStart w:id="208" w:name="_Toc951573"/>
      <w:bookmarkStart w:id="209" w:name="_Toc961075"/>
      <w:bookmarkStart w:id="210" w:name="_Toc951522"/>
      <w:bookmarkStart w:id="211" w:name="_Toc962237"/>
      <w:bookmarkStart w:id="212" w:name="_Toc1661778"/>
      <w:bookmarkStart w:id="213" w:name="_Toc21732"/>
      <w:bookmarkStart w:id="214" w:name="_Toc187827499"/>
      <w:bookmarkStart w:id="215" w:name="_Toc962474"/>
      <w:bookmarkStart w:id="216" w:name="_Toc6828"/>
      <w:bookmarkStart w:id="217" w:name="_Toc22800"/>
      <w:bookmarkStart w:id="218" w:name="_Toc962285"/>
      <w:r>
        <w:rPr>
          <w:rFonts w:hint="eastAsia" w:ascii="黑体" w:hAnsi="黑体" w:eastAsia="黑体" w:cs="Times New Roman"/>
          <w:b w:val="0"/>
          <w:sz w:val="21"/>
          <w:szCs w:val="21"/>
        </w:rPr>
        <w:t>8</w:t>
      </w:r>
      <w:r>
        <w:rPr>
          <w:rFonts w:ascii="黑体" w:hAnsi="黑体" w:eastAsia="黑体" w:cs="Times New Roman"/>
          <w:b w:val="0"/>
          <w:sz w:val="21"/>
          <w:szCs w:val="21"/>
        </w:rPr>
        <w:t xml:space="preserve">.3  </w:t>
      </w:r>
      <w:r>
        <w:rPr>
          <w:rFonts w:hint="eastAsia" w:ascii="黑体" w:hAnsi="黑体" w:eastAsia="黑体" w:cs="Times New Roman"/>
          <w:b w:val="0"/>
          <w:sz w:val="21"/>
          <w:szCs w:val="21"/>
        </w:rPr>
        <w:t>数据维护</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1622F614">
      <w:pPr>
        <w:pStyle w:val="46"/>
        <w:numPr>
          <w:ilvl w:val="0"/>
          <w:numId w:val="0"/>
        </w:numPr>
        <w:spacing w:line="360" w:lineRule="auto"/>
      </w:pPr>
      <w:r>
        <w:rPr>
          <w:rFonts w:hint="eastAsia"/>
        </w:rPr>
        <w:t>8.3.1  日常工作中应定时检查数据采集和存储状态。</w:t>
      </w:r>
    </w:p>
    <w:p w14:paraId="069E66E6">
      <w:pPr>
        <w:pStyle w:val="46"/>
        <w:numPr>
          <w:ilvl w:val="0"/>
          <w:numId w:val="0"/>
        </w:numPr>
        <w:spacing w:line="360" w:lineRule="auto"/>
      </w:pPr>
      <w:r>
        <w:rPr>
          <w:rFonts w:hint="eastAsia"/>
        </w:rPr>
        <w:t>8.3.2  应定期完成原始数据整理和备份工作，确保接收机、服务器有足够的空余存储空间。</w:t>
      </w:r>
    </w:p>
    <w:p w14:paraId="2792ACB1">
      <w:pPr>
        <w:pStyle w:val="46"/>
        <w:numPr>
          <w:ilvl w:val="0"/>
          <w:numId w:val="0"/>
        </w:numPr>
        <w:spacing w:line="360" w:lineRule="auto"/>
      </w:pPr>
      <w:r>
        <w:rPr>
          <w:rFonts w:hint="eastAsia"/>
        </w:rPr>
        <w:t>8.3.3监测成果数据、监测数据库应长期存储；原始数据备份存储时间不低于3年，有条件的情况下可长期存储。</w:t>
      </w:r>
    </w:p>
    <w:p w14:paraId="01D7BCA7">
      <w:pPr>
        <w:pStyle w:val="5"/>
        <w:spacing w:before="0" w:after="0" w:line="360" w:lineRule="auto"/>
        <w:rPr>
          <w:rFonts w:ascii="黑体" w:hAnsi="黑体" w:cs="Times New Roman"/>
          <w:szCs w:val="21"/>
        </w:rPr>
      </w:pPr>
      <w:bookmarkStart w:id="219" w:name="_Toc961030"/>
      <w:bookmarkStart w:id="220" w:name="_Toc961883"/>
      <w:bookmarkStart w:id="221" w:name="_Toc1661830"/>
      <w:bookmarkStart w:id="222" w:name="_Toc951523"/>
      <w:bookmarkStart w:id="223" w:name="_Toc21606"/>
      <w:bookmarkStart w:id="224" w:name="_Toc962475"/>
      <w:bookmarkStart w:id="225" w:name="_Toc6610"/>
      <w:bookmarkStart w:id="226" w:name="_Toc952021"/>
      <w:bookmarkStart w:id="227" w:name="_Toc961076"/>
      <w:bookmarkStart w:id="228" w:name="_Toc951574"/>
      <w:bookmarkStart w:id="229" w:name="_Toc962578"/>
      <w:bookmarkStart w:id="230" w:name="_Toc962286"/>
      <w:bookmarkStart w:id="231" w:name="_Toc962017"/>
      <w:bookmarkStart w:id="232" w:name="_Toc962424"/>
      <w:bookmarkStart w:id="233" w:name="_Toc1661779"/>
      <w:bookmarkStart w:id="234" w:name="_Toc962238"/>
      <w:bookmarkStart w:id="235" w:name="_Toc187827500"/>
      <w:bookmarkStart w:id="236" w:name="_Toc19204"/>
      <w:r>
        <w:rPr>
          <w:rFonts w:hint="eastAsia" w:ascii="黑体" w:hAnsi="黑体" w:eastAsia="黑体" w:cs="Times New Roman"/>
          <w:b w:val="0"/>
          <w:sz w:val="21"/>
          <w:szCs w:val="21"/>
        </w:rPr>
        <w:t>8</w:t>
      </w:r>
      <w:r>
        <w:rPr>
          <w:rFonts w:ascii="黑体" w:hAnsi="黑体" w:eastAsia="黑体" w:cs="Times New Roman"/>
          <w:b w:val="0"/>
          <w:sz w:val="21"/>
          <w:szCs w:val="21"/>
        </w:rPr>
        <w:t xml:space="preserve">.4  </w:t>
      </w:r>
      <w:r>
        <w:rPr>
          <w:rFonts w:hint="eastAsia" w:ascii="黑体" w:hAnsi="黑体" w:eastAsia="黑体" w:cs="Times New Roman"/>
          <w:b w:val="0"/>
          <w:sz w:val="21"/>
          <w:szCs w:val="21"/>
        </w:rPr>
        <w:t>软件维护</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09641060">
      <w:pPr>
        <w:pStyle w:val="46"/>
        <w:numPr>
          <w:ilvl w:val="0"/>
          <w:numId w:val="0"/>
        </w:numPr>
        <w:spacing w:line="360" w:lineRule="auto"/>
      </w:pPr>
      <w:r>
        <w:rPr>
          <w:rFonts w:hint="eastAsia"/>
        </w:rPr>
        <w:t>8.4.1  日常工作中应定期开展软件维护工作，从而延长系统使用寿命；</w:t>
      </w:r>
    </w:p>
    <w:p w14:paraId="2D26E2BC">
      <w:pPr>
        <w:pStyle w:val="46"/>
        <w:numPr>
          <w:ilvl w:val="0"/>
          <w:numId w:val="0"/>
        </w:numPr>
        <w:spacing w:line="360" w:lineRule="auto"/>
      </w:pPr>
      <w:r>
        <w:rPr>
          <w:rFonts w:hint="eastAsia"/>
        </w:rPr>
        <w:t>8.4.2  软件维护的主要工作有：</w:t>
      </w:r>
    </w:p>
    <w:p w14:paraId="033C174D">
      <w:pPr>
        <w:pStyle w:val="46"/>
        <w:numPr>
          <w:ilvl w:val="0"/>
          <w:numId w:val="0"/>
        </w:numPr>
        <w:spacing w:line="360" w:lineRule="auto"/>
        <w:ind w:firstLine="420" w:firstLineChars="200"/>
      </w:pPr>
      <w:r>
        <w:rPr>
          <w:rFonts w:hint="eastAsia"/>
        </w:rPr>
        <w:t>a）改正性维护：对程序使用期间发现的程序错误进行诊断和改正；</w:t>
      </w:r>
    </w:p>
    <w:p w14:paraId="51017FE0">
      <w:pPr>
        <w:pStyle w:val="46"/>
        <w:numPr>
          <w:ilvl w:val="0"/>
          <w:numId w:val="0"/>
        </w:numPr>
        <w:spacing w:line="360" w:lineRule="auto"/>
        <w:ind w:firstLine="420" w:firstLineChars="200"/>
      </w:pPr>
      <w:r>
        <w:rPr>
          <w:rFonts w:hint="eastAsia"/>
        </w:rPr>
        <w:t>b）适应性维护：配合环境变化修改软件；</w:t>
      </w:r>
    </w:p>
    <w:p w14:paraId="125AF178">
      <w:pPr>
        <w:pStyle w:val="46"/>
        <w:numPr>
          <w:ilvl w:val="0"/>
          <w:numId w:val="0"/>
        </w:numPr>
        <w:spacing w:line="360" w:lineRule="auto"/>
        <w:ind w:firstLine="420" w:firstLineChars="200"/>
      </w:pPr>
      <w:r>
        <w:rPr>
          <w:rFonts w:hint="eastAsia"/>
        </w:rPr>
        <w:t>c）完善性维护：增加新功能或修改已有功能的软件维护；</w:t>
      </w:r>
    </w:p>
    <w:p w14:paraId="3A52BA64">
      <w:pPr>
        <w:pStyle w:val="46"/>
        <w:numPr>
          <w:ilvl w:val="0"/>
          <w:numId w:val="0"/>
        </w:numPr>
        <w:spacing w:line="360" w:lineRule="auto"/>
        <w:ind w:firstLine="420" w:firstLineChars="200"/>
      </w:pPr>
      <w:r>
        <w:rPr>
          <w:rFonts w:hint="eastAsia"/>
        </w:rPr>
        <w:t>d）预防性维护：改善未来的可维护性或可靠性的软件维护；</w:t>
      </w:r>
    </w:p>
    <w:p w14:paraId="6F1FDE1B">
      <w:pPr>
        <w:pStyle w:val="46"/>
        <w:numPr>
          <w:ilvl w:val="0"/>
          <w:numId w:val="0"/>
        </w:numPr>
        <w:spacing w:line="360" w:lineRule="auto"/>
        <w:ind w:firstLine="420" w:firstLineChars="200"/>
      </w:pPr>
      <w:r>
        <w:rPr>
          <w:rFonts w:hint="eastAsia"/>
        </w:rPr>
        <w:t>e）软件维护过程中应形成用户文档和系统文档。</w:t>
      </w:r>
    </w:p>
    <w:p w14:paraId="10EE8984">
      <w:pPr>
        <w:pStyle w:val="5"/>
        <w:spacing w:before="0" w:after="0" w:line="360" w:lineRule="auto"/>
        <w:rPr>
          <w:rFonts w:ascii="黑体" w:hAnsi="黑体" w:cs="Times New Roman"/>
          <w:szCs w:val="21"/>
        </w:rPr>
      </w:pPr>
      <w:bookmarkStart w:id="237" w:name="_Toc952022"/>
      <w:bookmarkStart w:id="238" w:name="_Toc961077"/>
      <w:bookmarkStart w:id="239" w:name="_Toc962287"/>
      <w:bookmarkStart w:id="240" w:name="_Toc962018"/>
      <w:bookmarkStart w:id="241" w:name="_Toc962579"/>
      <w:bookmarkStart w:id="242" w:name="_Toc5327"/>
      <w:bookmarkStart w:id="243" w:name="_Toc962476"/>
      <w:bookmarkStart w:id="244" w:name="_Toc962425"/>
      <w:bookmarkStart w:id="245" w:name="_Toc961031"/>
      <w:bookmarkStart w:id="246" w:name="_Toc951575"/>
      <w:bookmarkStart w:id="247" w:name="_Toc962239"/>
      <w:bookmarkStart w:id="248" w:name="_Toc1661780"/>
      <w:bookmarkStart w:id="249" w:name="_Toc9876"/>
      <w:bookmarkStart w:id="250" w:name="_Toc187827501"/>
      <w:bookmarkStart w:id="251" w:name="_Toc951524"/>
      <w:bookmarkStart w:id="252" w:name="_Toc961884"/>
      <w:bookmarkStart w:id="253" w:name="_Toc21836"/>
      <w:bookmarkStart w:id="254" w:name="_Toc1661831"/>
      <w:r>
        <w:rPr>
          <w:rFonts w:hint="eastAsia" w:ascii="黑体" w:hAnsi="黑体" w:eastAsia="黑体" w:cs="Times New Roman"/>
          <w:b w:val="0"/>
          <w:sz w:val="21"/>
          <w:szCs w:val="21"/>
        </w:rPr>
        <w:t>8</w:t>
      </w:r>
      <w:r>
        <w:rPr>
          <w:rFonts w:ascii="黑体" w:hAnsi="黑体" w:eastAsia="黑体" w:cs="Times New Roman"/>
          <w:b w:val="0"/>
          <w:sz w:val="21"/>
          <w:szCs w:val="21"/>
        </w:rPr>
        <w:t xml:space="preserve">.5  </w:t>
      </w:r>
      <w:r>
        <w:rPr>
          <w:rFonts w:hint="eastAsia" w:ascii="黑体" w:hAnsi="黑体" w:eastAsia="黑体" w:cs="Times New Roman"/>
          <w:b w:val="0"/>
          <w:sz w:val="21"/>
          <w:szCs w:val="21"/>
        </w:rPr>
        <w:t>设备维护</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49590027">
      <w:pPr>
        <w:pStyle w:val="46"/>
        <w:numPr>
          <w:ilvl w:val="0"/>
          <w:numId w:val="0"/>
        </w:numPr>
        <w:spacing w:line="360" w:lineRule="auto"/>
      </w:pPr>
      <w:r>
        <w:rPr>
          <w:rFonts w:hint="eastAsia"/>
        </w:rPr>
        <w:t>8.5.1  必须指定专人保管与维护仪器并由专业人员安装调试，注意设备防盗、防震、防潮、防晒与防尘处理。</w:t>
      </w:r>
    </w:p>
    <w:p w14:paraId="64B70A62">
      <w:pPr>
        <w:pStyle w:val="46"/>
        <w:numPr>
          <w:ilvl w:val="0"/>
          <w:numId w:val="0"/>
        </w:numPr>
        <w:spacing w:line="360" w:lineRule="auto"/>
      </w:pPr>
      <w:r>
        <w:rPr>
          <w:rFonts w:hint="eastAsia"/>
        </w:rPr>
        <w:t>8.5.2  仪器要存放于通风良好的固定位置，每月都要对仪器进行一次全面检验。</w:t>
      </w:r>
    </w:p>
    <w:p w14:paraId="234B715A">
      <w:pPr>
        <w:pStyle w:val="46"/>
        <w:numPr>
          <w:ilvl w:val="0"/>
          <w:numId w:val="0"/>
        </w:numPr>
        <w:spacing w:line="360" w:lineRule="auto"/>
      </w:pPr>
      <w:r>
        <w:rPr>
          <w:rFonts w:hint="eastAsia"/>
        </w:rPr>
        <w:t>8.5.3  设备维护过程中，对设备运行情况做详细记录，包括数据质量、卫星搜索、设备温度、运行稳定性、供电情况、网络通讯情况等。</w:t>
      </w:r>
    </w:p>
    <w:p w14:paraId="199AD552">
      <w:pPr>
        <w:pStyle w:val="46"/>
        <w:numPr>
          <w:ilvl w:val="0"/>
          <w:numId w:val="0"/>
        </w:numPr>
        <w:spacing w:line="360" w:lineRule="auto"/>
      </w:pPr>
      <w:r>
        <w:rPr>
          <w:rFonts w:hint="eastAsia"/>
        </w:rPr>
        <w:t>8.5.4  严禁擅自拆卸北斗接收机主机及天线的各部件。如发生故障，应认真记录有关情况，并立即向有关管理人员与部门汇报。</w:t>
      </w:r>
    </w:p>
    <w:p w14:paraId="7E2A1BD1">
      <w:pPr>
        <w:pStyle w:val="46"/>
        <w:numPr>
          <w:ilvl w:val="0"/>
          <w:numId w:val="0"/>
        </w:numPr>
        <w:spacing w:line="360" w:lineRule="auto"/>
      </w:pPr>
      <w:r>
        <w:rPr>
          <w:rFonts w:hint="eastAsia"/>
        </w:rPr>
        <w:t>8.5.5  对设备维护过程中遇到故障要作详细记录。</w:t>
      </w:r>
    </w:p>
    <w:p w14:paraId="0E268306">
      <w:pPr>
        <w:pStyle w:val="60"/>
        <w:numPr>
          <w:ilvl w:val="0"/>
          <w:numId w:val="14"/>
        </w:numPr>
        <w:tabs>
          <w:tab w:val="clear" w:pos="840"/>
        </w:tabs>
        <w:ind w:left="360"/>
        <w:sectPr>
          <w:pgSz w:w="11906" w:h="16838"/>
          <w:pgMar w:top="1440" w:right="1800" w:bottom="1440" w:left="1800" w:header="851" w:footer="992" w:gutter="0"/>
          <w:pgNumType w:start="1"/>
          <w:cols w:space="425" w:num="1"/>
          <w:docGrid w:type="lines" w:linePitch="312" w:charSpace="0"/>
        </w:sectPr>
      </w:pPr>
      <w:bookmarkStart w:id="255" w:name="_Toc6344"/>
    </w:p>
    <w:p w14:paraId="3DE2DDEE">
      <w:pPr>
        <w:pStyle w:val="60"/>
        <w:numPr>
          <w:ilvl w:val="0"/>
          <w:numId w:val="14"/>
        </w:numPr>
        <w:tabs>
          <w:tab w:val="clear" w:pos="840"/>
        </w:tabs>
        <w:ind w:left="360"/>
      </w:pPr>
      <w:r>
        <w:br w:type="textWrapping"/>
      </w:r>
      <w:bookmarkStart w:id="256" w:name="_Toc962245"/>
      <w:bookmarkStart w:id="257" w:name="_Toc187827502"/>
      <w:bookmarkStart w:id="258" w:name="_Toc962585"/>
      <w:bookmarkStart w:id="259" w:name="_Toc962024"/>
      <w:bookmarkStart w:id="260" w:name="_Toc962482"/>
      <w:bookmarkStart w:id="261" w:name="_Toc962431"/>
      <w:bookmarkStart w:id="262" w:name="_Toc961035"/>
      <w:bookmarkStart w:id="263" w:name="_Toc961889"/>
      <w:bookmarkStart w:id="264" w:name="_Toc1661786"/>
      <w:bookmarkStart w:id="265" w:name="_Toc961081"/>
      <w:bookmarkStart w:id="266" w:name="_Toc1661837"/>
      <w:bookmarkStart w:id="267" w:name="_Toc962293"/>
      <w:r>
        <w:rPr>
          <w:rFonts w:hint="eastAsia"/>
        </w:rPr>
        <w:t>（资料性附录）</w:t>
      </w:r>
      <w:r>
        <w:br w:type="textWrapping"/>
      </w:r>
      <w:r>
        <w:rPr>
          <w:rFonts w:hint="eastAsia"/>
        </w:rPr>
        <w:t>北斗仪器检验方法</w:t>
      </w:r>
      <w:bookmarkEnd w:id="255"/>
      <w:bookmarkEnd w:id="256"/>
      <w:bookmarkEnd w:id="257"/>
      <w:bookmarkEnd w:id="258"/>
      <w:bookmarkEnd w:id="259"/>
      <w:bookmarkEnd w:id="260"/>
      <w:bookmarkEnd w:id="261"/>
      <w:bookmarkEnd w:id="262"/>
      <w:bookmarkEnd w:id="263"/>
      <w:bookmarkEnd w:id="264"/>
      <w:bookmarkEnd w:id="265"/>
      <w:bookmarkEnd w:id="266"/>
      <w:bookmarkEnd w:id="267"/>
    </w:p>
    <w:p w14:paraId="759DDFC9">
      <w:pPr>
        <w:pStyle w:val="20"/>
        <w:numPr>
          <w:ilvl w:val="1"/>
          <w:numId w:val="14"/>
        </w:numPr>
        <w:spacing w:line="360" w:lineRule="auto"/>
        <w:ind w:firstLineChars="0"/>
        <w:rPr>
          <w:rFonts w:ascii="黑体" w:hAnsi="黑体" w:eastAsia="黑体" w:cs="宋体"/>
          <w:szCs w:val="21"/>
        </w:rPr>
      </w:pPr>
      <w:r>
        <w:rPr>
          <w:rFonts w:hint="eastAsia" w:ascii="黑体" w:hAnsi="黑体" w:eastAsia="黑体" w:cs="宋体"/>
          <w:szCs w:val="21"/>
        </w:rPr>
        <w:t>观测数据质量（</w:t>
      </w:r>
      <w:r>
        <w:rPr>
          <w:rFonts w:ascii="黑体" w:hAnsi="黑体" w:eastAsia="黑体" w:cs="宋体"/>
          <w:szCs w:val="21"/>
        </w:rPr>
        <w:t>TEQC</w:t>
      </w:r>
      <w:r>
        <w:rPr>
          <w:rFonts w:hint="eastAsia" w:ascii="黑体" w:hAnsi="黑体" w:eastAsia="黑体" w:cs="宋体"/>
          <w:szCs w:val="21"/>
        </w:rPr>
        <w:t>）检验</w:t>
      </w:r>
    </w:p>
    <w:p w14:paraId="5CC697D0">
      <w:pPr>
        <w:pStyle w:val="20"/>
        <w:rPr>
          <w:rFonts w:ascii="等线" w:hAnsi="等线"/>
          <w:szCs w:val="21"/>
        </w:rPr>
      </w:pPr>
      <w:r>
        <w:rPr>
          <w:rFonts w:hint="eastAsia" w:ascii="等线" w:hAnsi="等线"/>
          <w:szCs w:val="21"/>
        </w:rPr>
        <w:t>选择最佳卫星通视观测环境，观测场地周边不得有高度角大于</w:t>
      </w:r>
      <w:r>
        <w:rPr>
          <w:rFonts w:ascii="等线" w:hAnsi="等线"/>
          <w:szCs w:val="21"/>
        </w:rPr>
        <w:t>10°</w:t>
      </w:r>
      <w:r>
        <w:rPr>
          <w:rFonts w:hint="eastAsia" w:ascii="等线" w:hAnsi="等线"/>
          <w:szCs w:val="21"/>
        </w:rPr>
        <w:t>的遮蔽物与多路径反射物。连续观测</w:t>
      </w:r>
      <w:r>
        <w:rPr>
          <w:rFonts w:ascii="等线" w:hAnsi="等线"/>
          <w:szCs w:val="21"/>
        </w:rPr>
        <w:t>24</w:t>
      </w:r>
      <w:r>
        <w:rPr>
          <w:rFonts w:hint="eastAsia" w:ascii="等线" w:hAnsi="等线"/>
          <w:szCs w:val="21"/>
        </w:rPr>
        <w:t>小时，截止高度角设置为零，采样间隔</w:t>
      </w:r>
      <w:r>
        <w:rPr>
          <w:rFonts w:ascii="等线" w:hAnsi="等线"/>
          <w:szCs w:val="21"/>
        </w:rPr>
        <w:t>30</w:t>
      </w:r>
      <w:r>
        <w:rPr>
          <w:rFonts w:hint="eastAsia" w:ascii="等线" w:hAnsi="等线"/>
          <w:szCs w:val="21"/>
        </w:rPr>
        <w:t>秒。采用预报星历做</w:t>
      </w:r>
      <w:r>
        <w:rPr>
          <w:rFonts w:ascii="等线" w:hAnsi="等线"/>
          <w:szCs w:val="21"/>
        </w:rPr>
        <w:t>TEQC</w:t>
      </w:r>
      <w:r>
        <w:rPr>
          <w:rFonts w:hint="eastAsia" w:ascii="等线" w:hAnsi="等线"/>
          <w:szCs w:val="21"/>
        </w:rPr>
        <w:t>的检验。</w:t>
      </w:r>
    </w:p>
    <w:p w14:paraId="2F782E58">
      <w:pPr>
        <w:pStyle w:val="20"/>
        <w:rPr>
          <w:rFonts w:ascii="等线" w:hAnsi="等线"/>
          <w:szCs w:val="21"/>
        </w:rPr>
      </w:pPr>
      <w:r>
        <w:rPr>
          <w:rFonts w:ascii="等线" w:hAnsi="等线"/>
          <w:szCs w:val="21"/>
        </w:rPr>
        <w:t>仪器必须在3分钟内完全锁定所有可见卫星并能正常记录所有必须观测的数据；</w:t>
      </w:r>
      <w:r>
        <w:rPr>
          <w:rFonts w:hint="eastAsia" w:ascii="等线" w:hAnsi="等线"/>
          <w:szCs w:val="21"/>
        </w:rPr>
        <w:t>接收</w:t>
      </w:r>
      <w:r>
        <w:rPr>
          <w:rFonts w:ascii="等线" w:hAnsi="等线"/>
          <w:szCs w:val="21"/>
        </w:rPr>
        <w:t>卫星数量不少于24颗；高度角在10°以上的观测量中应有大于95%的有效观测量；测距观测质量MP1和MP2小于0.5</w:t>
      </w:r>
      <w:r>
        <w:rPr>
          <w:rFonts w:hint="eastAsia" w:ascii="MS Mincho" w:hAnsi="MS Mincho" w:eastAsia="MS Mincho" w:cs="MS Mincho"/>
          <w:szCs w:val="21"/>
        </w:rPr>
        <w:t> </w:t>
      </w:r>
      <w:r>
        <w:rPr>
          <w:rFonts w:ascii="等线" w:hAnsi="等线"/>
          <w:szCs w:val="21"/>
        </w:rPr>
        <w:t>m；钟的日频稳定性不低于1×10</w:t>
      </w:r>
      <w:r>
        <w:rPr>
          <w:rFonts w:ascii="等线" w:hAnsi="等线"/>
          <w:szCs w:val="21"/>
          <w:vertAlign w:val="superscript"/>
        </w:rPr>
        <w:t>–8</w:t>
      </w:r>
      <w:r>
        <w:rPr>
          <w:rFonts w:ascii="等线" w:hAnsi="等线"/>
          <w:szCs w:val="21"/>
        </w:rPr>
        <w:t>，对于个别情况，在保证观测精度的前提下，可适当放宽，但不得低于1×10</w:t>
      </w:r>
      <w:r>
        <w:rPr>
          <w:rFonts w:ascii="等线" w:hAnsi="等线"/>
          <w:szCs w:val="21"/>
          <w:vertAlign w:val="superscript"/>
        </w:rPr>
        <w:t>–7</w:t>
      </w:r>
      <w:r>
        <w:rPr>
          <w:rFonts w:ascii="等线" w:hAnsi="等线"/>
          <w:szCs w:val="21"/>
        </w:rPr>
        <w:t>。</w:t>
      </w:r>
    </w:p>
    <w:p w14:paraId="638011E0">
      <w:pPr>
        <w:pStyle w:val="20"/>
        <w:numPr>
          <w:ilvl w:val="1"/>
          <w:numId w:val="14"/>
        </w:numPr>
        <w:spacing w:line="360" w:lineRule="auto"/>
        <w:ind w:firstLineChars="0"/>
        <w:rPr>
          <w:rFonts w:ascii="黑体" w:hAnsi="黑体" w:eastAsia="黑体" w:cs="宋体"/>
          <w:szCs w:val="21"/>
        </w:rPr>
      </w:pPr>
      <w:r>
        <w:rPr>
          <w:rFonts w:hint="eastAsia" w:ascii="黑体" w:hAnsi="黑体" w:eastAsia="黑体" w:cs="宋体"/>
          <w:szCs w:val="21"/>
        </w:rPr>
        <w:t>用零基线法检验接收机内部噪声水平</w:t>
      </w:r>
    </w:p>
    <w:p w14:paraId="6C78C508">
      <w:pPr>
        <w:pStyle w:val="20"/>
        <w:rPr>
          <w:rFonts w:ascii="等线" w:hAnsi="等线"/>
          <w:szCs w:val="21"/>
        </w:rPr>
      </w:pPr>
      <w:r>
        <w:rPr>
          <w:rFonts w:hint="eastAsia" w:ascii="等线" w:hAnsi="等线"/>
          <w:szCs w:val="21"/>
        </w:rPr>
        <w:t>采用“功率分配器”（简称功分器）将同一天线的输出信号分成功率、相位相同的二路或多路信号送到接收机，然后将观测数据进行双差处理求得坐标增量，以检验仪器固有误差。</w:t>
      </w:r>
    </w:p>
    <w:p w14:paraId="23DF377B">
      <w:pPr>
        <w:pStyle w:val="20"/>
        <w:rPr>
          <w:rFonts w:ascii="等线" w:hAnsi="等线"/>
          <w:szCs w:val="21"/>
        </w:rPr>
      </w:pPr>
      <w:r>
        <w:rPr>
          <w:rFonts w:hint="eastAsia" w:ascii="等线" w:hAnsi="等线"/>
          <w:szCs w:val="21"/>
        </w:rPr>
        <w:t>零基线检验方法：</w:t>
      </w:r>
    </w:p>
    <w:p w14:paraId="7AFC9A87">
      <w:pPr>
        <w:pStyle w:val="20"/>
        <w:numPr>
          <w:ilvl w:val="0"/>
          <w:numId w:val="15"/>
        </w:numPr>
        <w:ind w:firstLineChars="0"/>
        <w:rPr>
          <w:rFonts w:ascii="等线" w:hAnsi="等线"/>
          <w:szCs w:val="21"/>
        </w:rPr>
      </w:pPr>
      <w:r>
        <w:rPr>
          <w:rFonts w:hint="eastAsia" w:ascii="等线" w:hAnsi="等线"/>
          <w:szCs w:val="21"/>
        </w:rPr>
        <w:t>选择周围高度角</w:t>
      </w:r>
      <w:r>
        <w:rPr>
          <w:rFonts w:ascii="等线" w:hAnsi="等线"/>
          <w:szCs w:val="21"/>
        </w:rPr>
        <w:t>10°</w:t>
      </w:r>
      <w:r>
        <w:rPr>
          <w:rFonts w:hint="eastAsia" w:ascii="等线" w:hAnsi="等线"/>
          <w:szCs w:val="21"/>
        </w:rPr>
        <w:t>以上无障碍物地方安放天线，按图连接功分器；</w:t>
      </w:r>
    </w:p>
    <w:p w14:paraId="23459883">
      <w:pPr>
        <w:ind w:firstLine="400"/>
        <w:rPr>
          <w:rFonts w:ascii="等线" w:hAnsi="等线"/>
          <w:szCs w:val="21"/>
        </w:rPr>
      </w:pPr>
      <w:r>
        <mc:AlternateContent>
          <mc:Choice Requires="wpg">
            <w:drawing>
              <wp:anchor distT="0" distB="0" distL="114300" distR="114300" simplePos="0" relativeHeight="251661312" behindDoc="0" locked="0" layoutInCell="1" allowOverlap="1">
                <wp:simplePos x="0" y="0"/>
                <wp:positionH relativeFrom="column">
                  <wp:posOffset>1828800</wp:posOffset>
                </wp:positionH>
                <wp:positionV relativeFrom="paragraph">
                  <wp:posOffset>108585</wp:posOffset>
                </wp:positionV>
                <wp:extent cx="2171700" cy="1179195"/>
                <wp:effectExtent l="0" t="0" r="19050" b="20955"/>
                <wp:wrapNone/>
                <wp:docPr id="9" name="组合 9"/>
                <wp:cNvGraphicFramePr/>
                <a:graphic xmlns:a="http://schemas.openxmlformats.org/drawingml/2006/main">
                  <a:graphicData uri="http://schemas.microsoft.com/office/word/2010/wordprocessingGroup">
                    <wpg:wgp>
                      <wpg:cNvGrpSpPr/>
                      <wpg:grpSpPr>
                        <a:xfrm>
                          <a:off x="0" y="0"/>
                          <a:ext cx="2171700" cy="1179195"/>
                          <a:chOff x="0" y="0"/>
                          <a:chExt cx="3173" cy="1829"/>
                        </a:xfrm>
                      </wpg:grpSpPr>
                      <wps:wsp>
                        <wps:cNvPr id="10" name="Oval 7"/>
                        <wps:cNvSpPr>
                          <a:spLocks noChangeArrowheads="1"/>
                        </wps:cNvSpPr>
                        <wps:spPr bwMode="auto">
                          <a:xfrm>
                            <a:off x="1449" y="0"/>
                            <a:ext cx="328" cy="325"/>
                          </a:xfrm>
                          <a:prstGeom prst="ellipse">
                            <a:avLst/>
                          </a:prstGeom>
                          <a:noFill/>
                          <a:ln w="19050">
                            <a:solidFill>
                              <a:srgbClr val="000000"/>
                            </a:solidFill>
                            <a:round/>
                          </a:ln>
                        </wps:spPr>
                        <wps:bodyPr rot="0" vert="horz" wrap="square" lIns="91440" tIns="45720" rIns="91440" bIns="45720" anchor="t" anchorCtr="0" upright="1">
                          <a:noAutofit/>
                        </wps:bodyPr>
                      </wps:wsp>
                      <wps:wsp>
                        <wps:cNvPr id="11" name="Text Box 8"/>
                        <wps:cNvSpPr txBox="1">
                          <a:spLocks noChangeArrowheads="1"/>
                        </wps:cNvSpPr>
                        <wps:spPr bwMode="auto">
                          <a:xfrm>
                            <a:off x="1174" y="654"/>
                            <a:ext cx="863" cy="289"/>
                          </a:xfrm>
                          <a:prstGeom prst="rect">
                            <a:avLst/>
                          </a:prstGeom>
                          <a:noFill/>
                          <a:ln w="9525">
                            <a:solidFill>
                              <a:srgbClr val="000000"/>
                            </a:solidFill>
                            <a:miter lim="800000"/>
                          </a:ln>
                        </wps:spPr>
                        <wps:txbx>
                          <w:txbxContent>
                            <w:p w14:paraId="4FAA558D">
                              <w:pPr>
                                <w:pStyle w:val="59"/>
                                <w:rPr>
                                  <w:sz w:val="15"/>
                                  <w:szCs w:val="15"/>
                                </w:rPr>
                              </w:pPr>
                              <w:r>
                                <w:rPr>
                                  <w:rFonts w:hint="eastAsia" w:cs="宋体"/>
                                  <w:sz w:val="15"/>
                                  <w:szCs w:val="15"/>
                                </w:rPr>
                                <w:t>功分器</w:t>
                              </w:r>
                            </w:p>
                          </w:txbxContent>
                        </wps:txbx>
                        <wps:bodyPr rot="0" vert="horz" wrap="square" lIns="0" tIns="10800" rIns="0" bIns="0" anchor="t" anchorCtr="0" upright="1">
                          <a:noAutofit/>
                        </wps:bodyPr>
                      </wps:wsp>
                      <wps:wsp>
                        <wps:cNvPr id="12" name="Text Box 9"/>
                        <wps:cNvSpPr txBox="1">
                          <a:spLocks noChangeArrowheads="1"/>
                        </wps:cNvSpPr>
                        <wps:spPr bwMode="auto">
                          <a:xfrm>
                            <a:off x="0" y="1540"/>
                            <a:ext cx="863" cy="289"/>
                          </a:xfrm>
                          <a:prstGeom prst="rect">
                            <a:avLst/>
                          </a:prstGeom>
                          <a:noFill/>
                          <a:ln w="9525">
                            <a:solidFill>
                              <a:srgbClr val="000000"/>
                            </a:solidFill>
                            <a:miter lim="800000"/>
                          </a:ln>
                        </wps:spPr>
                        <wps:txbx>
                          <w:txbxContent>
                            <w:p w14:paraId="03DCB771">
                              <w:pPr>
                                <w:pStyle w:val="59"/>
                              </w:pPr>
                              <w:r>
                                <w:rPr>
                                  <w:rFonts w:hint="eastAsia"/>
                                </w:rPr>
                                <w:t>北斗</w:t>
                              </w:r>
                              <w:r>
                                <w:rPr>
                                  <w:rFonts w:hint="eastAsia" w:cs="宋体"/>
                                  <w:sz w:val="15"/>
                                  <w:szCs w:val="15"/>
                                </w:rPr>
                                <w:t>接收机</w:t>
                              </w:r>
                            </w:p>
                          </w:txbxContent>
                        </wps:txbx>
                        <wps:bodyPr rot="0" vert="horz" wrap="square" lIns="0" tIns="10800" rIns="0" bIns="0" anchor="t" anchorCtr="0" upright="1">
                          <a:noAutofit/>
                        </wps:bodyPr>
                      </wps:wsp>
                      <wps:wsp>
                        <wps:cNvPr id="13" name="Text Box 10"/>
                        <wps:cNvSpPr txBox="1">
                          <a:spLocks noChangeArrowheads="1"/>
                        </wps:cNvSpPr>
                        <wps:spPr bwMode="auto">
                          <a:xfrm>
                            <a:off x="2310" y="1540"/>
                            <a:ext cx="863" cy="289"/>
                          </a:xfrm>
                          <a:prstGeom prst="rect">
                            <a:avLst/>
                          </a:prstGeom>
                          <a:noFill/>
                          <a:ln w="9525">
                            <a:solidFill>
                              <a:srgbClr val="000000"/>
                            </a:solidFill>
                            <a:miter lim="800000"/>
                          </a:ln>
                        </wps:spPr>
                        <wps:txbx>
                          <w:txbxContent>
                            <w:p w14:paraId="347A94B6">
                              <w:pPr>
                                <w:pStyle w:val="59"/>
                              </w:pPr>
                              <w:r>
                                <w:rPr>
                                  <w:rFonts w:hint="eastAsia" w:cs="宋体"/>
                                  <w:sz w:val="15"/>
                                  <w:szCs w:val="15"/>
                                </w:rPr>
                                <w:t>北斗接收机</w:t>
                              </w:r>
                            </w:p>
                            <w:p w14:paraId="56CE7F01">
                              <w:pPr>
                                <w:ind w:firstLine="400"/>
                              </w:pPr>
                            </w:p>
                          </w:txbxContent>
                        </wps:txbx>
                        <wps:bodyPr rot="0" vert="horz" wrap="square" lIns="0" tIns="10800" rIns="0" bIns="0" anchor="t" anchorCtr="0" upright="1">
                          <a:noAutofit/>
                        </wps:bodyPr>
                      </wps:wsp>
                      <wps:wsp>
                        <wps:cNvPr id="14" name="Line 11"/>
                        <wps:cNvCnPr/>
                        <wps:spPr bwMode="auto">
                          <a:xfrm>
                            <a:off x="1620" y="335"/>
                            <a:ext cx="0" cy="312"/>
                          </a:xfrm>
                          <a:prstGeom prst="line">
                            <a:avLst/>
                          </a:prstGeom>
                          <a:noFill/>
                          <a:ln w="9525">
                            <a:solidFill>
                              <a:srgbClr val="000000"/>
                            </a:solidFill>
                            <a:round/>
                            <a:tailEnd type="stealth" w="sm" len="sm"/>
                          </a:ln>
                        </wps:spPr>
                        <wps:bodyPr/>
                      </wps:wsp>
                      <wps:wsp>
                        <wps:cNvPr id="15" name="未知"/>
                        <wps:cNvSpPr/>
                        <wps:spPr bwMode="auto">
                          <a:xfrm>
                            <a:off x="440" y="949"/>
                            <a:ext cx="889" cy="587"/>
                          </a:xfrm>
                          <a:custGeom>
                            <a:avLst/>
                            <a:gdLst>
                              <a:gd name="T0" fmla="*/ 887 w 889"/>
                              <a:gd name="T1" fmla="*/ 0 h 587"/>
                              <a:gd name="T2" fmla="*/ 889 w 889"/>
                              <a:gd name="T3" fmla="*/ 306 h 587"/>
                              <a:gd name="T4" fmla="*/ 0 w 889"/>
                              <a:gd name="T5" fmla="*/ 306 h 587"/>
                              <a:gd name="T6" fmla="*/ 0 w 889"/>
                              <a:gd name="T7" fmla="*/ 587 h 587"/>
                            </a:gdLst>
                            <a:ahLst/>
                            <a:cxnLst>
                              <a:cxn ang="0">
                                <a:pos x="T0" y="T1"/>
                              </a:cxn>
                              <a:cxn ang="0">
                                <a:pos x="T2" y="T3"/>
                              </a:cxn>
                              <a:cxn ang="0">
                                <a:pos x="T4" y="T5"/>
                              </a:cxn>
                              <a:cxn ang="0">
                                <a:pos x="T6" y="T7"/>
                              </a:cxn>
                            </a:cxnLst>
                            <a:rect l="0" t="0" r="r" b="b"/>
                            <a:pathLst>
                              <a:path w="889" h="587">
                                <a:moveTo>
                                  <a:pt x="887" y="0"/>
                                </a:moveTo>
                                <a:lnTo>
                                  <a:pt x="889" y="306"/>
                                </a:lnTo>
                                <a:lnTo>
                                  <a:pt x="0" y="306"/>
                                </a:lnTo>
                                <a:lnTo>
                                  <a:pt x="0" y="587"/>
                                </a:lnTo>
                              </a:path>
                            </a:pathLst>
                          </a:custGeom>
                          <a:noFill/>
                          <a:ln w="9525">
                            <a:solidFill>
                              <a:srgbClr val="000000"/>
                            </a:solidFill>
                            <a:round/>
                            <a:tailEnd type="stealth" w="sm" len="sm"/>
                          </a:ln>
                        </wps:spPr>
                        <wps:bodyPr rot="0" vert="horz" wrap="square" lIns="91440" tIns="45720" rIns="91440" bIns="45720" anchor="t" anchorCtr="0" upright="1">
                          <a:noAutofit/>
                        </wps:bodyPr>
                      </wps:wsp>
                      <wps:wsp>
                        <wps:cNvPr id="16" name="未知"/>
                        <wps:cNvSpPr/>
                        <wps:spPr bwMode="auto">
                          <a:xfrm flipH="1">
                            <a:off x="1765" y="949"/>
                            <a:ext cx="1002" cy="587"/>
                          </a:xfrm>
                          <a:custGeom>
                            <a:avLst/>
                            <a:gdLst>
                              <a:gd name="T0" fmla="*/ 887 w 889"/>
                              <a:gd name="T1" fmla="*/ 0 h 587"/>
                              <a:gd name="T2" fmla="*/ 889 w 889"/>
                              <a:gd name="T3" fmla="*/ 306 h 587"/>
                              <a:gd name="T4" fmla="*/ 0 w 889"/>
                              <a:gd name="T5" fmla="*/ 306 h 587"/>
                              <a:gd name="T6" fmla="*/ 0 w 889"/>
                              <a:gd name="T7" fmla="*/ 587 h 587"/>
                            </a:gdLst>
                            <a:ahLst/>
                            <a:cxnLst>
                              <a:cxn ang="0">
                                <a:pos x="T0" y="T1"/>
                              </a:cxn>
                              <a:cxn ang="0">
                                <a:pos x="T2" y="T3"/>
                              </a:cxn>
                              <a:cxn ang="0">
                                <a:pos x="T4" y="T5"/>
                              </a:cxn>
                              <a:cxn ang="0">
                                <a:pos x="T6" y="T7"/>
                              </a:cxn>
                            </a:cxnLst>
                            <a:rect l="0" t="0" r="r" b="b"/>
                            <a:pathLst>
                              <a:path w="889" h="587">
                                <a:moveTo>
                                  <a:pt x="887" y="0"/>
                                </a:moveTo>
                                <a:lnTo>
                                  <a:pt x="889" y="306"/>
                                </a:lnTo>
                                <a:lnTo>
                                  <a:pt x="0" y="306"/>
                                </a:lnTo>
                                <a:lnTo>
                                  <a:pt x="0" y="587"/>
                                </a:lnTo>
                              </a:path>
                            </a:pathLst>
                          </a:custGeom>
                          <a:noFill/>
                          <a:ln w="9525">
                            <a:solidFill>
                              <a:srgbClr val="000000"/>
                            </a:solidFill>
                            <a:round/>
                            <a:tailEnd type="stealth" w="sm" len="sm"/>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144pt;margin-top:8.55pt;height:92.85pt;width:171pt;z-index:251661312;mso-width-relative:page;mso-height-relative:page;" coordsize="3173,1829" o:gfxdata="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">
                <o:lock v:ext="edit" aspectratio="f"/>
                <v:shape id="Oval 7" o:spid="_x0000_s1026" o:spt="3" type="#_x0000_t3" style="position:absolute;left:1449;top:0;height:325;width:328;" filled="f" stroked="t" coordsize="21600,21600" o:gfxdata="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l0fXe5AAAA2wAA&#10;AA8AAAAAAAAAAQAgAAAAIgAAAGRycy9kb3ducmV2LnhtbFBLAQIUABQAAAAIAIdO4kAzLwWeOwAA&#10;ADkAAAAQAAAAAAAAAAEAIAAAAAgBAABkcnMvc2hhcGV4bWwueG1sUEsFBgAAAAAGAAYAWwEAALID&#10;AAAAAA==&#10;">
                  <v:fill on="f" focussize="0,0"/>
                  <v:stroke weight="1.5pt" color="#000000" joinstyle="round"/>
                  <v:imagedata o:title=""/>
                  <o:lock v:ext="edit" aspectratio="f"/>
                </v:shape>
                <v:shape id="Text Box 8" o:spid="_x0000_s1026" o:spt="202" type="#_x0000_t202" style="position:absolute;left:1174;top:654;height:289;width:863;" filled="f" stroked="t" coordsize="21600,21600" o:gfxdata="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vb/i6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inset="0mm,0.3mm,0mm,0mm">
                    <w:txbxContent>
                      <w:p w14:paraId="4FAA558D">
                        <w:pPr>
                          <w:pStyle w:val="59"/>
                          <w:rPr>
                            <w:sz w:val="15"/>
                            <w:szCs w:val="15"/>
                          </w:rPr>
                        </w:pPr>
                        <w:r>
                          <w:rPr>
                            <w:rFonts w:hint="eastAsia" w:cs="宋体"/>
                            <w:sz w:val="15"/>
                            <w:szCs w:val="15"/>
                          </w:rPr>
                          <w:t>功分器</w:t>
                        </w:r>
                      </w:p>
                    </w:txbxContent>
                  </v:textbox>
                </v:shape>
                <v:shape id="Text Box 9" o:spid="_x0000_s1026" o:spt="202" type="#_x0000_t202" style="position:absolute;left:0;top:1540;height:289;width:863;" filled="f" stroked="t" coordsize="21600,21600" o:gfxdata="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sJYFm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inset="0mm,0.3mm,0mm,0mm">
                    <w:txbxContent>
                      <w:p w14:paraId="03DCB771">
                        <w:pPr>
                          <w:pStyle w:val="59"/>
                        </w:pPr>
                        <w:r>
                          <w:rPr>
                            <w:rFonts w:hint="eastAsia"/>
                          </w:rPr>
                          <w:t>北斗</w:t>
                        </w:r>
                        <w:r>
                          <w:rPr>
                            <w:rFonts w:hint="eastAsia" w:cs="宋体"/>
                            <w:sz w:val="15"/>
                            <w:szCs w:val="15"/>
                          </w:rPr>
                          <w:t>接收机</w:t>
                        </w:r>
                      </w:p>
                    </w:txbxContent>
                  </v:textbox>
                </v:shape>
                <v:shape id="Text Box 10" o:spid="_x0000_s1026" o:spt="202" type="#_x0000_t202" style="position:absolute;left:2310;top:1540;height:289;width:863;" filled="f" stroked="t" coordsize="21600,21600" o:gfxdata="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RFxcK5AAAA2wAA&#10;AA8AAAAAAAAAAQAgAAAAIgAAAGRycy9kb3ducmV2LnhtbFBLAQIUABQAAAAIAIdO4kAzLwWeOwAA&#10;ADkAAAAQAAAAAAAAAAEAIAAAAAgBAABkcnMvc2hhcGV4bWwueG1sUEsFBgAAAAAGAAYAWwEAALID&#10;AAAAAA==&#10;">
                  <v:fill on="f" focussize="0,0"/>
                  <v:stroke color="#000000" miterlimit="8" joinstyle="miter"/>
                  <v:imagedata o:title=""/>
                  <o:lock v:ext="edit" aspectratio="f"/>
                  <v:textbox inset="0mm,0.3mm,0mm,0mm">
                    <w:txbxContent>
                      <w:p w14:paraId="347A94B6">
                        <w:pPr>
                          <w:pStyle w:val="59"/>
                        </w:pPr>
                        <w:r>
                          <w:rPr>
                            <w:rFonts w:hint="eastAsia" w:cs="宋体"/>
                            <w:sz w:val="15"/>
                            <w:szCs w:val="15"/>
                          </w:rPr>
                          <w:t>北斗接收机</w:t>
                        </w:r>
                      </w:p>
                      <w:p w14:paraId="56CE7F01">
                        <w:pPr>
                          <w:ind w:firstLine="400"/>
                        </w:pPr>
                      </w:p>
                    </w:txbxContent>
                  </v:textbox>
                </v:shape>
                <v:line id="Line 11" o:spid="_x0000_s1026" o:spt="20" style="position:absolute;left:1620;top:335;height:312;width:0;" filled="f" stroked="t" coordsize="21600,21600" o:gfxdata="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Uxz/vQAA&#10;ANsAAAAPAAAAAAAAAAEAIAAAACIAAABkcnMvZG93bnJldi54bWxQSwECFAAUAAAACACHTuJAMy8F&#10;njsAAAA5AAAAEAAAAAAAAAABACAAAAAMAQAAZHJzL3NoYXBleG1sLnhtbFBLBQYAAAAABgAGAFsB&#10;AAC2AwAAAAA=&#10;">
                  <v:fill on="f" focussize="0,0"/>
                  <v:stroke color="#000000" joinstyle="round" endarrow="classic" endarrowwidth="narrow" endarrowlength="short"/>
                  <v:imagedata o:title=""/>
                  <o:lock v:ext="edit" aspectratio="f"/>
                </v:line>
                <v:shape id="未知" o:spid="_x0000_s1026" o:spt="100" style="position:absolute;left:440;top:949;height:587;width:889;" filled="f" stroked="t" coordsize="889,587" o:gfxdata="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KEEzugAAANsA&#10;AAAPAAAAAAAAAAEAIAAAACIAAABkcnMvZG93bnJldi54bWxQSwECFAAUAAAACACHTuJAMy8FnjsA&#10;AAA5AAAAEAAAAAAAAAABACAAAAAJAQAAZHJzL3NoYXBleG1sLnhtbFBLBQYAAAAABgAGAFsBAACz&#10;AwAAAAA=&#10;" path="m887,0l889,306,0,306,0,587e">
                  <v:path o:connectlocs="887,0;889,306;0,306;0,587" o:connectangles="0,0,0,0"/>
                  <v:fill on="f" focussize="0,0"/>
                  <v:stroke color="#000000" joinstyle="round" endarrow="classic" endarrowwidth="narrow" endarrowlength="short"/>
                  <v:imagedata o:title=""/>
                  <o:lock v:ext="edit" aspectratio="f"/>
                </v:shape>
                <v:shape id="未知" o:spid="_x0000_s1026" o:spt="100" style="position:absolute;left:1765;top:949;flip:x;height:587;width:1002;" filled="f" stroked="t" coordsize="889,587" o:gfxdata="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TdxWm5AAAA2wAA&#10;AA8AAAAAAAAAAQAgAAAAIgAAAGRycy9kb3ducmV2LnhtbFBLAQIUABQAAAAIAIdO4kAzLwWeOwAA&#10;ADkAAAAQAAAAAAAAAAEAIAAAAAgBAABkcnMvc2hhcGV4bWwueG1sUEsFBgAAAAAGAAYAWwEAALID&#10;AAAAAA==&#10;" path="m887,0l889,306,0,306,0,587e">
                  <v:path o:connectlocs="999,0;1002,306;0,306;0,587" o:connectangles="0,0,0,0"/>
                  <v:fill on="f" focussize="0,0"/>
                  <v:stroke color="#000000" joinstyle="round" endarrow="classic" endarrowwidth="narrow" endarrowlength="short"/>
                  <v:imagedata o:title=""/>
                  <o:lock v:ext="edit" aspectratio="f"/>
                </v:shape>
              </v:group>
            </w:pict>
          </mc:Fallback>
        </mc:AlternateContent>
      </w:r>
    </w:p>
    <w:p w14:paraId="34D1BB27">
      <w:pPr>
        <w:ind w:firstLine="400"/>
        <w:rPr>
          <w:rFonts w:ascii="等线" w:hAnsi="等线"/>
          <w:szCs w:val="21"/>
        </w:rPr>
      </w:pPr>
    </w:p>
    <w:p w14:paraId="2C297362">
      <w:pPr>
        <w:ind w:firstLine="400"/>
        <w:rPr>
          <w:rFonts w:ascii="等线" w:hAnsi="等线"/>
          <w:szCs w:val="21"/>
        </w:rPr>
      </w:pPr>
    </w:p>
    <w:p w14:paraId="764FC33D">
      <w:pPr>
        <w:ind w:firstLine="400"/>
        <w:rPr>
          <w:rFonts w:ascii="等线" w:hAnsi="等线"/>
          <w:szCs w:val="21"/>
        </w:rPr>
      </w:pPr>
    </w:p>
    <w:p w14:paraId="6FDE51A6">
      <w:pPr>
        <w:ind w:firstLine="400"/>
        <w:rPr>
          <w:rFonts w:ascii="等线" w:hAnsi="等线"/>
          <w:szCs w:val="21"/>
        </w:rPr>
      </w:pPr>
    </w:p>
    <w:p w14:paraId="32C17083">
      <w:pPr>
        <w:ind w:firstLine="400"/>
        <w:rPr>
          <w:rFonts w:ascii="等线" w:hAnsi="等线"/>
          <w:szCs w:val="21"/>
        </w:rPr>
      </w:pPr>
    </w:p>
    <w:p w14:paraId="3AF29132">
      <w:pPr>
        <w:ind w:firstLine="400"/>
        <w:jc w:val="center"/>
        <w:rPr>
          <w:rFonts w:ascii="黑体" w:hAnsi="黑体" w:eastAsia="黑体"/>
          <w:szCs w:val="21"/>
        </w:rPr>
      </w:pPr>
    </w:p>
    <w:p w14:paraId="5FE62744">
      <w:pPr>
        <w:ind w:firstLine="400"/>
        <w:jc w:val="center"/>
        <w:rPr>
          <w:rFonts w:ascii="黑体" w:hAnsi="黑体" w:eastAsia="黑体"/>
          <w:szCs w:val="21"/>
        </w:rPr>
      </w:pPr>
      <w:r>
        <w:rPr>
          <w:rFonts w:hint="eastAsia" w:ascii="黑体" w:hAnsi="黑体" w:eastAsia="黑体"/>
          <w:szCs w:val="21"/>
        </w:rPr>
        <w:t>图1</w:t>
      </w:r>
    </w:p>
    <w:p w14:paraId="00B98EA5">
      <w:pPr>
        <w:pStyle w:val="20"/>
        <w:numPr>
          <w:ilvl w:val="0"/>
          <w:numId w:val="15"/>
        </w:numPr>
        <w:ind w:firstLineChars="0"/>
        <w:rPr>
          <w:rFonts w:ascii="等线" w:hAnsi="等线"/>
          <w:szCs w:val="21"/>
        </w:rPr>
      </w:pPr>
      <w:r>
        <w:rPr>
          <w:rFonts w:hint="eastAsia" w:ascii="等线" w:hAnsi="等线"/>
          <w:szCs w:val="21"/>
        </w:rPr>
        <w:t>连接电源；</w:t>
      </w:r>
    </w:p>
    <w:p w14:paraId="39DC21D1">
      <w:pPr>
        <w:pStyle w:val="20"/>
        <w:numPr>
          <w:ilvl w:val="0"/>
          <w:numId w:val="15"/>
        </w:numPr>
        <w:ind w:firstLineChars="0"/>
        <w:rPr>
          <w:rFonts w:ascii="等线" w:hAnsi="等线"/>
          <w:szCs w:val="21"/>
        </w:rPr>
      </w:pPr>
      <w:r>
        <w:rPr>
          <w:rFonts w:hint="eastAsia" w:ascii="等线" w:hAnsi="等线"/>
          <w:szCs w:val="21"/>
        </w:rPr>
        <w:t>二台仪器同步跟踪卫星观测1</w:t>
      </w:r>
      <w:r>
        <w:rPr>
          <w:rFonts w:ascii="等线" w:hAnsi="等线"/>
          <w:szCs w:val="21"/>
        </w:rPr>
        <w:t>.5</w:t>
      </w:r>
      <w:r>
        <w:rPr>
          <w:rFonts w:hint="eastAsia" w:ascii="等线" w:hAnsi="等线"/>
          <w:szCs w:val="21"/>
        </w:rPr>
        <w:t>小时；</w:t>
      </w:r>
    </w:p>
    <w:p w14:paraId="6A529425">
      <w:pPr>
        <w:pStyle w:val="20"/>
        <w:numPr>
          <w:ilvl w:val="0"/>
          <w:numId w:val="15"/>
        </w:numPr>
        <w:ind w:firstLineChars="0"/>
        <w:rPr>
          <w:rFonts w:ascii="等线" w:hAnsi="等线"/>
          <w:szCs w:val="21"/>
        </w:rPr>
      </w:pPr>
      <w:r>
        <w:rPr>
          <w:rFonts w:hint="eastAsia" w:ascii="等线" w:hAnsi="等线"/>
          <w:szCs w:val="21"/>
        </w:rPr>
        <w:t>交换接收机天线接口，同</w:t>
      </w:r>
      <w:r>
        <w:rPr>
          <w:rFonts w:ascii="等线" w:hAnsi="等线"/>
          <w:szCs w:val="21"/>
        </w:rPr>
        <w:t>c</w:t>
      </w:r>
      <w:r>
        <w:rPr>
          <w:rFonts w:hint="eastAsia" w:ascii="等线" w:hAnsi="等线"/>
          <w:szCs w:val="21"/>
        </w:rPr>
        <w:t>项要求再观测一个时段（1</w:t>
      </w:r>
      <w:r>
        <w:rPr>
          <w:rFonts w:ascii="等线" w:hAnsi="等线"/>
          <w:szCs w:val="21"/>
        </w:rPr>
        <w:t>.5</w:t>
      </w:r>
      <w:r>
        <w:rPr>
          <w:rFonts w:hint="eastAsia" w:ascii="等线" w:hAnsi="等线"/>
          <w:szCs w:val="21"/>
        </w:rPr>
        <w:t>小时）；</w:t>
      </w:r>
    </w:p>
    <w:p w14:paraId="43B1986D">
      <w:pPr>
        <w:pStyle w:val="20"/>
        <w:numPr>
          <w:ilvl w:val="0"/>
          <w:numId w:val="15"/>
        </w:numPr>
        <w:ind w:firstLineChars="0"/>
        <w:rPr>
          <w:rFonts w:ascii="等线" w:hAnsi="等线"/>
          <w:szCs w:val="21"/>
        </w:rPr>
      </w:pPr>
      <w:r>
        <w:rPr>
          <w:rFonts w:hint="eastAsia" w:ascii="等线" w:hAnsi="等线"/>
          <w:szCs w:val="21"/>
        </w:rPr>
        <w:t>用静态定位软件计算零基线长度，载波相位后处理结果应该优于</w:t>
      </w:r>
      <w:r>
        <w:rPr>
          <w:rFonts w:ascii="等线" w:hAnsi="等线"/>
          <w:szCs w:val="21"/>
        </w:rPr>
        <w:t>1.0mm</w:t>
      </w:r>
      <w:r>
        <w:rPr>
          <w:rFonts w:hint="eastAsia" w:ascii="等线" w:hAnsi="等线"/>
          <w:szCs w:val="21"/>
        </w:rPr>
        <w:t>。</w:t>
      </w:r>
    </w:p>
    <w:p w14:paraId="7BEF61C7">
      <w:pPr>
        <w:pStyle w:val="20"/>
        <w:numPr>
          <w:ilvl w:val="1"/>
          <w:numId w:val="14"/>
        </w:numPr>
        <w:spacing w:line="360" w:lineRule="auto"/>
        <w:ind w:firstLineChars="0"/>
        <w:rPr>
          <w:rFonts w:ascii="黑体" w:hAnsi="黑体" w:eastAsia="黑体" w:cs="宋体"/>
          <w:szCs w:val="21"/>
        </w:rPr>
      </w:pPr>
      <w:r>
        <w:rPr>
          <w:rFonts w:hint="eastAsia" w:ascii="黑体" w:hAnsi="黑体" w:eastAsia="黑体" w:cs="宋体"/>
          <w:szCs w:val="21"/>
        </w:rPr>
        <w:t>用超短基线法检验接收机内部噪声水平</w:t>
      </w:r>
    </w:p>
    <w:p w14:paraId="11236948">
      <w:pPr>
        <w:pStyle w:val="28"/>
        <w:spacing w:before="156" w:after="156"/>
      </w:pPr>
      <w:r>
        <w:rPr>
          <w:rFonts w:hint="eastAsia"/>
        </w:rPr>
        <w:t>对一体式北斗接收机，可采用超短基线法检测内部噪声水平，超短基线法对内部噪声水平的检测也是一种相对定位法对接收机定位精度的检测。</w:t>
      </w:r>
    </w:p>
    <w:p w14:paraId="3693EC13">
      <w:pPr>
        <w:pStyle w:val="28"/>
        <w:spacing w:before="156" w:after="156"/>
      </w:pPr>
      <w:r>
        <w:rPr>
          <w:rFonts w:hint="eastAsia"/>
        </w:rPr>
        <w:t>超短基线检验方法：</w:t>
      </w:r>
    </w:p>
    <w:p w14:paraId="5CF5CE43">
      <w:pPr>
        <w:pStyle w:val="28"/>
        <w:spacing w:before="156" w:after="156"/>
      </w:pPr>
      <w:r>
        <w:rPr>
          <w:rFonts w:hint="eastAsia"/>
        </w:rPr>
        <w:t>a)选择周围高度角10°以上无障碍物、无电磁波干扰及地面反射系数小的已标定场地；</w:t>
      </w:r>
    </w:p>
    <w:p w14:paraId="2FE747BE">
      <w:pPr>
        <w:pStyle w:val="28"/>
        <w:spacing w:before="156" w:after="156"/>
      </w:pPr>
      <w:r>
        <w:rPr>
          <w:rFonts w:hint="eastAsia"/>
        </w:rPr>
        <w:t>b) 将接收机天线整平对中放置在观测墩上,天线指北；</w:t>
      </w:r>
    </w:p>
    <w:p w14:paraId="503583DD">
      <w:pPr>
        <w:pStyle w:val="28"/>
        <w:spacing w:before="156" w:after="156"/>
      </w:pPr>
      <w:r>
        <w:rPr>
          <w:rFonts w:hint="eastAsia"/>
        </w:rPr>
        <w:t>c) 接收机开机同步接收卫星信号，连续接收1.5</w:t>
      </w:r>
      <w:r>
        <w:rPr>
          <w:rFonts w:hint="eastAsia" w:ascii="等线" w:hAnsi="等线"/>
          <w:szCs w:val="21"/>
        </w:rPr>
        <w:t>小时</w:t>
      </w:r>
      <w:r>
        <w:rPr>
          <w:rFonts w:hint="eastAsia"/>
        </w:rPr>
        <w:t>；</w:t>
      </w:r>
    </w:p>
    <w:p w14:paraId="0926B979">
      <w:pPr>
        <w:pStyle w:val="28"/>
        <w:spacing w:before="156" w:after="156"/>
      </w:pPr>
      <w:r>
        <w:rPr>
          <w:rFonts w:hint="eastAsia"/>
        </w:rPr>
        <w:t>d)用北斗数据处理软件计算，解算出的基线向量值与大地测量的标准值之间差值应小于接收机固定规格。</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3225"/>
    </w:sdtPr>
    <w:sdtContent>
      <w:p w14:paraId="5E1FEEC2">
        <w:pPr>
          <w:pStyle w:val="11"/>
          <w:jc w:val="center"/>
        </w:pPr>
      </w:p>
    </w:sdtContent>
  </w:sdt>
  <w:p w14:paraId="469B055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5212108"/>
      <w:docPartObj>
        <w:docPartGallery w:val="autotext"/>
      </w:docPartObj>
    </w:sdtPr>
    <w:sdtContent>
      <w:p w14:paraId="4D94AA24">
        <w:pPr>
          <w:pStyle w:val="11"/>
          <w:jc w:val="center"/>
        </w:pPr>
      </w:p>
    </w:sdtContent>
  </w:sdt>
  <w:p w14:paraId="7DA3A904">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8880980"/>
      <w:docPartObj>
        <w:docPartGallery w:val="autotext"/>
      </w:docPartObj>
    </w:sdtPr>
    <w:sdtContent>
      <w:p w14:paraId="0BAEBD16">
        <w:pPr>
          <w:pStyle w:val="11"/>
          <w:jc w:val="center"/>
        </w:pPr>
        <w:r>
          <w:fldChar w:fldCharType="begin"/>
        </w:r>
        <w:r>
          <w:instrText xml:space="preserve">PAGE   \* MERGEFORMAT</w:instrText>
        </w:r>
        <w:r>
          <w:fldChar w:fldCharType="separate"/>
        </w:r>
        <w:r>
          <w:rPr>
            <w:lang w:val="zh-CN"/>
          </w:rPr>
          <w:t>I</w:t>
        </w:r>
        <w:r>
          <w:fldChar w:fldCharType="end"/>
        </w:r>
      </w:p>
    </w:sdtContent>
  </w:sdt>
  <w:p w14:paraId="406EC319">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157740"/>
      <w:docPartObj>
        <w:docPartGallery w:val="autotext"/>
      </w:docPartObj>
    </w:sdtPr>
    <w:sdtContent>
      <w:p w14:paraId="155BD0B7">
        <w:pPr>
          <w:pStyle w:val="11"/>
          <w:jc w:val="center"/>
        </w:pPr>
        <w:r>
          <w:fldChar w:fldCharType="begin"/>
        </w:r>
        <w:r>
          <w:instrText xml:space="preserve">PAGE   \* MERGEFORMAT</w:instrText>
        </w:r>
        <w:r>
          <w:fldChar w:fldCharType="separate"/>
        </w:r>
        <w:r>
          <w:rPr>
            <w:lang w:val="zh-CN"/>
          </w:rPr>
          <w:t>2</w:t>
        </w:r>
        <w:r>
          <w:fldChar w:fldCharType="end"/>
        </w:r>
      </w:p>
    </w:sdtContent>
  </w:sdt>
  <w:p w14:paraId="506C6BC8">
    <w:pPr>
      <w:pStyle w:val="11"/>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480A15"/>
    <w:multiLevelType w:val="singleLevel"/>
    <w:tmpl w:val="8F480A15"/>
    <w:lvl w:ilvl="0" w:tentative="0">
      <w:start w:val="1"/>
      <w:numFmt w:val="lowerLetter"/>
      <w:suff w:val="space"/>
      <w:lvlText w:val="%1)"/>
      <w:lvlJc w:val="left"/>
    </w:lvl>
  </w:abstractNum>
  <w:abstractNum w:abstractNumId="1">
    <w:nsid w:val="07ED3FEA"/>
    <w:multiLevelType w:val="multilevel"/>
    <w:tmpl w:val="07ED3FEA"/>
    <w:lvl w:ilvl="0" w:tentative="0">
      <w:start w:val="1"/>
      <w:numFmt w:val="none"/>
      <w:pStyle w:val="58"/>
      <w:lvlText w:val="%1"/>
      <w:lvlJc w:val="left"/>
      <w:pPr>
        <w:ind w:left="425" w:hanging="425"/>
      </w:pPr>
      <w:rPr>
        <w:rFonts w:hint="eastAsia"/>
      </w:rPr>
    </w:lvl>
    <w:lvl w:ilvl="1" w:tentative="0">
      <w:start w:val="1"/>
      <w:numFmt w:val="decimal"/>
      <w:suff w:val="nothing"/>
      <w:lvlText w:val="%10.%2 "/>
      <w:lvlJc w:val="left"/>
      <w:pPr>
        <w:ind w:left="0" w:firstLine="0"/>
      </w:pPr>
      <w:rPr>
        <w:rFonts w:hint="eastAsia" w:ascii="黑体" w:eastAsia="黑体" w:hAnsiTheme="minorHAnsi"/>
        <w:b w:val="0"/>
        <w:i w:val="0"/>
        <w:sz w:val="21"/>
      </w:rPr>
    </w:lvl>
    <w:lvl w:ilvl="2" w:tentative="0">
      <w:start w:val="1"/>
      <w:numFmt w:val="decimal"/>
      <w:suff w:val="nothing"/>
      <w:lvlText w:val="%10.%2.%3 "/>
      <w:lvlJc w:val="left"/>
      <w:pPr>
        <w:ind w:left="0" w:firstLine="0"/>
      </w:pPr>
      <w:rPr>
        <w:rFonts w:hint="eastAsia" w:ascii="黑体" w:eastAsia="黑体" w:hAnsiTheme="minorHAnsi"/>
        <w:b w:val="0"/>
        <w:i w:val="0"/>
        <w:sz w:val="21"/>
      </w:rPr>
    </w:lvl>
    <w:lvl w:ilvl="3" w:tentative="0">
      <w:start w:val="1"/>
      <w:numFmt w:val="decimal"/>
      <w:suff w:val="nothing"/>
      <w:lvlText w:val="%10.%2.%3.%4 "/>
      <w:lvlJc w:val="left"/>
      <w:pPr>
        <w:ind w:left="0" w:firstLine="0"/>
      </w:pPr>
      <w:rPr>
        <w:rFonts w:hint="eastAsia" w:ascii="黑体" w:eastAsia="黑体" w:hAnsiTheme="minorHAnsi"/>
        <w:b w:val="0"/>
        <w:i w:val="0"/>
        <w:sz w:val="21"/>
      </w:rPr>
    </w:lvl>
    <w:lvl w:ilvl="4" w:tentative="0">
      <w:start w:val="1"/>
      <w:numFmt w:val="decimal"/>
      <w:suff w:val="nothing"/>
      <w:lvlText w:val="%10.%2.%3.%4.%5 "/>
      <w:lvlJc w:val="left"/>
      <w:pPr>
        <w:ind w:left="0" w:firstLine="0"/>
      </w:pPr>
      <w:rPr>
        <w:rFonts w:hint="eastAsia" w:ascii="黑体" w:eastAsia="黑体" w:hAnsiTheme="minorHAnsi"/>
        <w:b w:val="0"/>
        <w:i w:val="0"/>
        <w:sz w:val="21"/>
      </w:rPr>
    </w:lvl>
    <w:lvl w:ilvl="5" w:tentative="0">
      <w:start w:val="1"/>
      <w:numFmt w:val="decimal"/>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2A6F2A30"/>
    <w:multiLevelType w:val="multilevel"/>
    <w:tmpl w:val="2A6F2A30"/>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9121823"/>
    <w:multiLevelType w:val="multilevel"/>
    <w:tmpl w:val="39121823"/>
    <w:lvl w:ilvl="0" w:tentative="0">
      <w:start w:val="1"/>
      <w:numFmt w:val="lowerLetter"/>
      <w:pStyle w:val="60"/>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
    <w:nsid w:val="3AA45B9C"/>
    <w:multiLevelType w:val="multilevel"/>
    <w:tmpl w:val="3AA45B9C"/>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5">
    <w:nsid w:val="44C50F90"/>
    <w:multiLevelType w:val="multilevel"/>
    <w:tmpl w:val="44C50F90"/>
    <w:lvl w:ilvl="0" w:tentative="0">
      <w:start w:val="1"/>
      <w:numFmt w:val="lowerLetter"/>
      <w:pStyle w:val="46"/>
      <w:lvlText w:val="%1)"/>
      <w:lvlJc w:val="left"/>
      <w:pPr>
        <w:tabs>
          <w:tab w:val="left" w:pos="851"/>
        </w:tabs>
        <w:ind w:left="851" w:hanging="426"/>
      </w:pPr>
      <w:rPr>
        <w:rFonts w:hint="eastAsia" w:ascii="宋体" w:hAnsi="Times New Roman" w:eastAsia="宋体"/>
        <w:sz w:val="21"/>
      </w:rPr>
    </w:lvl>
    <w:lvl w:ilvl="1" w:tentative="0">
      <w:start w:val="1"/>
      <w:numFmt w:val="decimal"/>
      <w:pStyle w:val="43"/>
      <w:lvlText w:val="%2)"/>
      <w:lvlJc w:val="left"/>
      <w:pPr>
        <w:tabs>
          <w:tab w:val="left" w:pos="1276"/>
        </w:tabs>
        <w:ind w:left="1276" w:hanging="425"/>
      </w:pPr>
      <w:rPr>
        <w:rFonts w:hint="eastAsia" w:ascii="宋体" w:hAnsi="Times New Roman" w:eastAsia="宋体"/>
        <w:sz w:val="21"/>
      </w:rPr>
    </w:lvl>
    <w:lvl w:ilvl="2" w:tentative="0">
      <w:start w:val="1"/>
      <w:numFmt w:val="decimal"/>
      <w:pStyle w:val="44"/>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6">
    <w:nsid w:val="45D301C5"/>
    <w:multiLevelType w:val="multilevel"/>
    <w:tmpl w:val="45D301C5"/>
    <w:lvl w:ilvl="0" w:tentative="0">
      <w:start w:val="10"/>
      <w:numFmt w:val="decimal"/>
      <w:pStyle w:val="51"/>
      <w:lvlText w:val="%1"/>
      <w:lvlJc w:val="left"/>
      <w:pPr>
        <w:ind w:left="420" w:hanging="420"/>
      </w:pPr>
      <w:rPr>
        <w:rFonts w:hint="default"/>
      </w:rPr>
    </w:lvl>
    <w:lvl w:ilvl="1" w:tentative="0">
      <w:start w:val="2"/>
      <w:numFmt w:val="decimal"/>
      <w:pStyle w:val="50"/>
      <w:lvlText w:val="%1.%2"/>
      <w:lvlJc w:val="left"/>
      <w:pPr>
        <w:ind w:left="420" w:hanging="420"/>
      </w:pPr>
      <w:rPr>
        <w:rFonts w:hint="default" w:ascii="黑体" w:hAnsi="黑体" w:eastAsia="黑体"/>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7">
    <w:nsid w:val="4A711513"/>
    <w:multiLevelType w:val="multilevel"/>
    <w:tmpl w:val="4A711513"/>
    <w:lvl w:ilvl="0" w:tentative="0">
      <w:start w:val="4"/>
      <w:numFmt w:val="decimal"/>
      <w:lvlText w:val="%1"/>
      <w:lvlJc w:val="left"/>
      <w:pPr>
        <w:ind w:left="525" w:hanging="525"/>
      </w:pPr>
      <w:rPr>
        <w:rFonts w:hint="default"/>
      </w:rPr>
    </w:lvl>
    <w:lvl w:ilvl="1" w:tentative="0">
      <w:start w:val="1"/>
      <w:numFmt w:val="decimal"/>
      <w:lvlText w:val="%1.%2"/>
      <w:lvlJc w:val="left"/>
      <w:pPr>
        <w:ind w:left="525" w:hanging="525"/>
      </w:pPr>
      <w:rPr>
        <w:rFonts w:hint="default"/>
      </w:rPr>
    </w:lvl>
    <w:lvl w:ilvl="2" w:tentative="0">
      <w:start w:val="3"/>
      <w:numFmt w:val="decimal"/>
      <w:lvlText w:val="%1.%2.%3"/>
      <w:lvlJc w:val="left"/>
      <w:pPr>
        <w:ind w:left="720" w:hanging="720"/>
      </w:pPr>
      <w:rPr>
        <w:rFonts w:hint="default"/>
      </w:rPr>
    </w:lvl>
    <w:lvl w:ilvl="3" w:tentative="0">
      <w:start w:val="1"/>
      <w:numFmt w:val="decimal"/>
      <w:pStyle w:val="35"/>
      <w:lvlText w:val="%1.%2.%3.%4"/>
      <w:lvlJc w:val="left"/>
      <w:pPr>
        <w:ind w:left="1080" w:hanging="1080"/>
      </w:pPr>
      <w:rPr>
        <w:rFonts w:hint="default"/>
      </w:rPr>
    </w:lvl>
    <w:lvl w:ilvl="4" w:tentative="0">
      <w:start w:val="1"/>
      <w:numFmt w:val="decimal"/>
      <w:pStyle w:val="34"/>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8">
    <w:nsid w:val="51044F33"/>
    <w:multiLevelType w:val="multilevel"/>
    <w:tmpl w:val="51044F33"/>
    <w:lvl w:ilvl="0" w:tentative="0">
      <w:start w:val="8"/>
      <w:numFmt w:val="decimal"/>
      <w:lvlText w:val="%1"/>
      <w:lvlJc w:val="left"/>
      <w:pPr>
        <w:ind w:left="360" w:hanging="360"/>
      </w:pPr>
      <w:rPr>
        <w:rFonts w:hint="default"/>
      </w:rPr>
    </w:lvl>
    <w:lvl w:ilvl="1" w:tentative="0">
      <w:start w:val="3"/>
      <w:numFmt w:val="decimal"/>
      <w:pStyle w:val="54"/>
      <w:lvlText w:val="%1.%2"/>
      <w:lvlJc w:val="left"/>
      <w:pPr>
        <w:ind w:left="360" w:hanging="360"/>
      </w:pPr>
      <w:rPr>
        <w:rFonts w:hint="default"/>
      </w:rPr>
    </w:lvl>
    <w:lvl w:ilvl="2" w:tentative="0">
      <w:start w:val="1"/>
      <w:numFmt w:val="decimal"/>
      <w:pStyle w:val="49"/>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9">
    <w:nsid w:val="5384307E"/>
    <w:multiLevelType w:val="multilevel"/>
    <w:tmpl w:val="5384307E"/>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0">
    <w:nsid w:val="5533573C"/>
    <w:multiLevelType w:val="multilevel"/>
    <w:tmpl w:val="5533573C"/>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1">
    <w:nsid w:val="657D3FBC"/>
    <w:multiLevelType w:val="multilevel"/>
    <w:tmpl w:val="657D3FBC"/>
    <w:lvl w:ilvl="0" w:tentative="0">
      <w:start w:val="1"/>
      <w:numFmt w:val="upperLetter"/>
      <w:suff w:val="nothing"/>
      <w:lvlText w:val="附　录　%1"/>
      <w:lvlJc w:val="left"/>
      <w:pPr>
        <w:ind w:left="828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65F35774"/>
    <w:multiLevelType w:val="multilevel"/>
    <w:tmpl w:val="65F35774"/>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6CEA2025"/>
    <w:multiLevelType w:val="multilevel"/>
    <w:tmpl w:val="6CEA2025"/>
    <w:lvl w:ilvl="0" w:tentative="0">
      <w:start w:val="1"/>
      <w:numFmt w:val="none"/>
      <w:pStyle w:val="45"/>
      <w:suff w:val="nothing"/>
      <w:lvlText w:val="%1"/>
      <w:lvlJc w:val="left"/>
      <w:pPr>
        <w:ind w:left="0" w:firstLine="0"/>
      </w:pPr>
      <w:rPr>
        <w:rFonts w:hint="eastAsia"/>
      </w:rPr>
    </w:lvl>
    <w:lvl w:ilvl="1" w:tentative="0">
      <w:start w:val="1"/>
      <w:numFmt w:val="decimal"/>
      <w:pStyle w:val="41"/>
      <w:suff w:val="nothing"/>
      <w:lvlText w:val="%1%2　"/>
      <w:lvlJc w:val="left"/>
      <w:pPr>
        <w:ind w:left="0" w:firstLine="0"/>
      </w:pPr>
      <w:rPr>
        <w:rFonts w:hint="eastAsia" w:ascii="黑体" w:eastAsia="黑体"/>
        <w:b w:val="0"/>
        <w:i w:val="0"/>
        <w:sz w:val="21"/>
      </w:rPr>
    </w:lvl>
    <w:lvl w:ilvl="2" w:tentative="0">
      <w:start w:val="1"/>
      <w:numFmt w:val="decimal"/>
      <w:pStyle w:val="42"/>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37"/>
      <w:suff w:val="nothing"/>
      <w:lvlText w:val="%1%2.%3.%4　"/>
      <w:lvlJc w:val="left"/>
      <w:pPr>
        <w:ind w:left="0" w:firstLine="0"/>
      </w:pPr>
      <w:rPr>
        <w:rFonts w:hint="eastAsia" w:ascii="黑体" w:eastAsia="黑体"/>
        <w:b w:val="0"/>
        <w:i w:val="0"/>
        <w:sz w:val="21"/>
      </w:rPr>
    </w:lvl>
    <w:lvl w:ilvl="4" w:tentative="0">
      <w:start w:val="1"/>
      <w:numFmt w:val="decimal"/>
      <w:pStyle w:val="38"/>
      <w:suff w:val="nothing"/>
      <w:lvlText w:val="%1%2.%3.%4.%5　"/>
      <w:lvlJc w:val="left"/>
      <w:pPr>
        <w:ind w:left="0" w:firstLine="0"/>
      </w:pPr>
      <w:rPr>
        <w:rFonts w:hint="eastAsia" w:ascii="黑体" w:eastAsia="黑体"/>
        <w:b w:val="0"/>
        <w:i w:val="0"/>
        <w:sz w:val="21"/>
      </w:rPr>
    </w:lvl>
    <w:lvl w:ilvl="5" w:tentative="0">
      <w:start w:val="1"/>
      <w:numFmt w:val="decimal"/>
      <w:pStyle w:val="39"/>
      <w:suff w:val="nothing"/>
      <w:lvlText w:val="%1%2.%3.%4.%5.%6　"/>
      <w:lvlJc w:val="left"/>
      <w:pPr>
        <w:ind w:left="0" w:firstLine="0"/>
      </w:pPr>
      <w:rPr>
        <w:rFonts w:hint="eastAsia" w:ascii="黑体" w:eastAsia="黑体"/>
        <w:b w:val="0"/>
        <w:i w:val="0"/>
        <w:sz w:val="21"/>
      </w:rPr>
    </w:lvl>
    <w:lvl w:ilvl="6" w:tentative="0">
      <w:start w:val="1"/>
      <w:numFmt w:val="decimal"/>
      <w:pStyle w:val="40"/>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
    <w:nsid w:val="79AD42C9"/>
    <w:multiLevelType w:val="multilevel"/>
    <w:tmpl w:val="79AD42C9"/>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7"/>
  </w:num>
  <w:num w:numId="2">
    <w:abstractNumId w:val="13"/>
  </w:num>
  <w:num w:numId="3">
    <w:abstractNumId w:val="5"/>
  </w:num>
  <w:num w:numId="4">
    <w:abstractNumId w:val="8"/>
  </w:num>
  <w:num w:numId="5">
    <w:abstractNumId w:val="6"/>
  </w:num>
  <w:num w:numId="6">
    <w:abstractNumId w:val="1"/>
  </w:num>
  <w:num w:numId="7">
    <w:abstractNumId w:val="3"/>
  </w:num>
  <w:num w:numId="8">
    <w:abstractNumId w:val="10"/>
  </w:num>
  <w:num w:numId="9">
    <w:abstractNumId w:val="2"/>
  </w:num>
  <w:num w:numId="10">
    <w:abstractNumId w:val="0"/>
  </w:num>
  <w:num w:numId="11">
    <w:abstractNumId w:val="4"/>
  </w:num>
  <w:num w:numId="12">
    <w:abstractNumId w:val="12"/>
  </w:num>
  <w:num w:numId="13">
    <w:abstractNumId w:val="9"/>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7A3"/>
    <w:rsid w:val="00010B74"/>
    <w:rsid w:val="00011F55"/>
    <w:rsid w:val="00013BB2"/>
    <w:rsid w:val="00020769"/>
    <w:rsid w:val="00034908"/>
    <w:rsid w:val="00036F9C"/>
    <w:rsid w:val="0004616F"/>
    <w:rsid w:val="0004712A"/>
    <w:rsid w:val="000558C5"/>
    <w:rsid w:val="00066EF7"/>
    <w:rsid w:val="00072C3E"/>
    <w:rsid w:val="000738F6"/>
    <w:rsid w:val="000870E0"/>
    <w:rsid w:val="00091CC6"/>
    <w:rsid w:val="000A29D6"/>
    <w:rsid w:val="000A3881"/>
    <w:rsid w:val="000B4F11"/>
    <w:rsid w:val="000B601E"/>
    <w:rsid w:val="000B6393"/>
    <w:rsid w:val="000C726E"/>
    <w:rsid w:val="000C7B0A"/>
    <w:rsid w:val="000D0CF0"/>
    <w:rsid w:val="000E1C5A"/>
    <w:rsid w:val="000F1EC8"/>
    <w:rsid w:val="000F745E"/>
    <w:rsid w:val="00105557"/>
    <w:rsid w:val="001058EA"/>
    <w:rsid w:val="00106459"/>
    <w:rsid w:val="001065BB"/>
    <w:rsid w:val="00107A59"/>
    <w:rsid w:val="00110D11"/>
    <w:rsid w:val="00114B78"/>
    <w:rsid w:val="00130404"/>
    <w:rsid w:val="0013122C"/>
    <w:rsid w:val="00136FC6"/>
    <w:rsid w:val="00142C23"/>
    <w:rsid w:val="001461A0"/>
    <w:rsid w:val="00146316"/>
    <w:rsid w:val="001574B8"/>
    <w:rsid w:val="001603B4"/>
    <w:rsid w:val="0016543F"/>
    <w:rsid w:val="0016703E"/>
    <w:rsid w:val="001713BC"/>
    <w:rsid w:val="00173090"/>
    <w:rsid w:val="00176554"/>
    <w:rsid w:val="00185197"/>
    <w:rsid w:val="001951CF"/>
    <w:rsid w:val="001A7BBE"/>
    <w:rsid w:val="001B5D29"/>
    <w:rsid w:val="001C298B"/>
    <w:rsid w:val="001C4583"/>
    <w:rsid w:val="001D5BAE"/>
    <w:rsid w:val="001E0051"/>
    <w:rsid w:val="001E68CB"/>
    <w:rsid w:val="001F247B"/>
    <w:rsid w:val="001F62ED"/>
    <w:rsid w:val="00200BB1"/>
    <w:rsid w:val="00213675"/>
    <w:rsid w:val="00215313"/>
    <w:rsid w:val="00215AF8"/>
    <w:rsid w:val="002161ED"/>
    <w:rsid w:val="00217B7F"/>
    <w:rsid w:val="00220D82"/>
    <w:rsid w:val="00223129"/>
    <w:rsid w:val="002243E8"/>
    <w:rsid w:val="00226353"/>
    <w:rsid w:val="0022691D"/>
    <w:rsid w:val="00234326"/>
    <w:rsid w:val="00236B2C"/>
    <w:rsid w:val="002541EF"/>
    <w:rsid w:val="0025668F"/>
    <w:rsid w:val="00256D11"/>
    <w:rsid w:val="00261E31"/>
    <w:rsid w:val="002620CB"/>
    <w:rsid w:val="00265F2C"/>
    <w:rsid w:val="00284F8C"/>
    <w:rsid w:val="002859BF"/>
    <w:rsid w:val="002A2408"/>
    <w:rsid w:val="002A59EB"/>
    <w:rsid w:val="002B00EE"/>
    <w:rsid w:val="002B2162"/>
    <w:rsid w:val="002B311C"/>
    <w:rsid w:val="002C0C1B"/>
    <w:rsid w:val="002D2493"/>
    <w:rsid w:val="002D43B3"/>
    <w:rsid w:val="002D4D21"/>
    <w:rsid w:val="002E0DDE"/>
    <w:rsid w:val="0030249C"/>
    <w:rsid w:val="00304DDA"/>
    <w:rsid w:val="00313272"/>
    <w:rsid w:val="00316108"/>
    <w:rsid w:val="003202B7"/>
    <w:rsid w:val="003208E5"/>
    <w:rsid w:val="00336CD9"/>
    <w:rsid w:val="003376D6"/>
    <w:rsid w:val="00344C45"/>
    <w:rsid w:val="003562CD"/>
    <w:rsid w:val="00357F65"/>
    <w:rsid w:val="00363929"/>
    <w:rsid w:val="00364100"/>
    <w:rsid w:val="00371763"/>
    <w:rsid w:val="0037454A"/>
    <w:rsid w:val="003765CC"/>
    <w:rsid w:val="00381D64"/>
    <w:rsid w:val="00384B47"/>
    <w:rsid w:val="00394DC3"/>
    <w:rsid w:val="00397315"/>
    <w:rsid w:val="003A5D10"/>
    <w:rsid w:val="003C090A"/>
    <w:rsid w:val="003F7B37"/>
    <w:rsid w:val="004276B3"/>
    <w:rsid w:val="00427715"/>
    <w:rsid w:val="00432831"/>
    <w:rsid w:val="0043513B"/>
    <w:rsid w:val="004351EA"/>
    <w:rsid w:val="00444E52"/>
    <w:rsid w:val="0045502E"/>
    <w:rsid w:val="004553CF"/>
    <w:rsid w:val="00455C92"/>
    <w:rsid w:val="00456C7A"/>
    <w:rsid w:val="00465870"/>
    <w:rsid w:val="00467237"/>
    <w:rsid w:val="0047075D"/>
    <w:rsid w:val="00471355"/>
    <w:rsid w:val="00473260"/>
    <w:rsid w:val="004825EA"/>
    <w:rsid w:val="00495E53"/>
    <w:rsid w:val="00496D13"/>
    <w:rsid w:val="004A0DEA"/>
    <w:rsid w:val="004A3C4D"/>
    <w:rsid w:val="004A7572"/>
    <w:rsid w:val="004B3089"/>
    <w:rsid w:val="004D11F2"/>
    <w:rsid w:val="004E0875"/>
    <w:rsid w:val="004E4AC6"/>
    <w:rsid w:val="004E4C52"/>
    <w:rsid w:val="004F1A93"/>
    <w:rsid w:val="004F20DE"/>
    <w:rsid w:val="005038A5"/>
    <w:rsid w:val="005068E1"/>
    <w:rsid w:val="00516D1D"/>
    <w:rsid w:val="00521933"/>
    <w:rsid w:val="00524D5A"/>
    <w:rsid w:val="00546CE9"/>
    <w:rsid w:val="005607FF"/>
    <w:rsid w:val="00567097"/>
    <w:rsid w:val="00574329"/>
    <w:rsid w:val="005776AD"/>
    <w:rsid w:val="00581F68"/>
    <w:rsid w:val="00582DDA"/>
    <w:rsid w:val="00591C99"/>
    <w:rsid w:val="005A1052"/>
    <w:rsid w:val="005B610C"/>
    <w:rsid w:val="005D02CE"/>
    <w:rsid w:val="005D22D0"/>
    <w:rsid w:val="005E1C5E"/>
    <w:rsid w:val="005F66F1"/>
    <w:rsid w:val="00603010"/>
    <w:rsid w:val="00603CB2"/>
    <w:rsid w:val="00613AAF"/>
    <w:rsid w:val="00625F8D"/>
    <w:rsid w:val="006310B5"/>
    <w:rsid w:val="00636996"/>
    <w:rsid w:val="00637D83"/>
    <w:rsid w:val="006519A6"/>
    <w:rsid w:val="006558F6"/>
    <w:rsid w:val="00655C45"/>
    <w:rsid w:val="00661F43"/>
    <w:rsid w:val="0066202C"/>
    <w:rsid w:val="00671821"/>
    <w:rsid w:val="006833EA"/>
    <w:rsid w:val="0069720C"/>
    <w:rsid w:val="006A171A"/>
    <w:rsid w:val="006B72E5"/>
    <w:rsid w:val="006C0C1E"/>
    <w:rsid w:val="006D2659"/>
    <w:rsid w:val="006D5750"/>
    <w:rsid w:val="006E6995"/>
    <w:rsid w:val="006F0AA1"/>
    <w:rsid w:val="00723F30"/>
    <w:rsid w:val="00732EFA"/>
    <w:rsid w:val="0073631D"/>
    <w:rsid w:val="00740AE3"/>
    <w:rsid w:val="00742CC7"/>
    <w:rsid w:val="00743FD1"/>
    <w:rsid w:val="00750E3F"/>
    <w:rsid w:val="00762BDF"/>
    <w:rsid w:val="007700B2"/>
    <w:rsid w:val="0078098A"/>
    <w:rsid w:val="007816BC"/>
    <w:rsid w:val="00786A68"/>
    <w:rsid w:val="00790ADC"/>
    <w:rsid w:val="007A03A8"/>
    <w:rsid w:val="007B5B20"/>
    <w:rsid w:val="007C5C8A"/>
    <w:rsid w:val="007D4473"/>
    <w:rsid w:val="007D7FEC"/>
    <w:rsid w:val="007F61C0"/>
    <w:rsid w:val="007F7242"/>
    <w:rsid w:val="00804608"/>
    <w:rsid w:val="0081258B"/>
    <w:rsid w:val="00827934"/>
    <w:rsid w:val="00830D3E"/>
    <w:rsid w:val="0084085A"/>
    <w:rsid w:val="008473DD"/>
    <w:rsid w:val="00847EEF"/>
    <w:rsid w:val="00850728"/>
    <w:rsid w:val="00854672"/>
    <w:rsid w:val="00854F0D"/>
    <w:rsid w:val="008603E0"/>
    <w:rsid w:val="00860582"/>
    <w:rsid w:val="00871E2B"/>
    <w:rsid w:val="008724F2"/>
    <w:rsid w:val="00872632"/>
    <w:rsid w:val="0088649D"/>
    <w:rsid w:val="00893DD5"/>
    <w:rsid w:val="008A0949"/>
    <w:rsid w:val="008A250E"/>
    <w:rsid w:val="008A3C9C"/>
    <w:rsid w:val="008A5671"/>
    <w:rsid w:val="008A6544"/>
    <w:rsid w:val="008A7B5C"/>
    <w:rsid w:val="008B0B5D"/>
    <w:rsid w:val="008B1F56"/>
    <w:rsid w:val="008C03DF"/>
    <w:rsid w:val="008C2F7B"/>
    <w:rsid w:val="008C7848"/>
    <w:rsid w:val="008E3287"/>
    <w:rsid w:val="008E5809"/>
    <w:rsid w:val="008F134E"/>
    <w:rsid w:val="008F77C4"/>
    <w:rsid w:val="009034CE"/>
    <w:rsid w:val="009037AD"/>
    <w:rsid w:val="009124B6"/>
    <w:rsid w:val="00912A71"/>
    <w:rsid w:val="00914A8E"/>
    <w:rsid w:val="00925ACB"/>
    <w:rsid w:val="009276AF"/>
    <w:rsid w:val="00930FCB"/>
    <w:rsid w:val="0093330D"/>
    <w:rsid w:val="00942146"/>
    <w:rsid w:val="00947884"/>
    <w:rsid w:val="00955631"/>
    <w:rsid w:val="009579DD"/>
    <w:rsid w:val="00965BA3"/>
    <w:rsid w:val="0096658E"/>
    <w:rsid w:val="00971F3F"/>
    <w:rsid w:val="00972504"/>
    <w:rsid w:val="009842E4"/>
    <w:rsid w:val="00995326"/>
    <w:rsid w:val="00997BAC"/>
    <w:rsid w:val="009A186E"/>
    <w:rsid w:val="009A6B41"/>
    <w:rsid w:val="009A7898"/>
    <w:rsid w:val="009A7D2A"/>
    <w:rsid w:val="009B3C44"/>
    <w:rsid w:val="009C7754"/>
    <w:rsid w:val="009D1620"/>
    <w:rsid w:val="009D1FE9"/>
    <w:rsid w:val="009E029B"/>
    <w:rsid w:val="009E2359"/>
    <w:rsid w:val="009E3138"/>
    <w:rsid w:val="009E638E"/>
    <w:rsid w:val="009F0269"/>
    <w:rsid w:val="009F0F8E"/>
    <w:rsid w:val="009F2B75"/>
    <w:rsid w:val="009F3A49"/>
    <w:rsid w:val="00A01FA8"/>
    <w:rsid w:val="00A02D54"/>
    <w:rsid w:val="00A160AA"/>
    <w:rsid w:val="00A30932"/>
    <w:rsid w:val="00A37629"/>
    <w:rsid w:val="00A43998"/>
    <w:rsid w:val="00A52286"/>
    <w:rsid w:val="00A53ED2"/>
    <w:rsid w:val="00A55F2C"/>
    <w:rsid w:val="00A63E36"/>
    <w:rsid w:val="00A67180"/>
    <w:rsid w:val="00A7354A"/>
    <w:rsid w:val="00AA17B3"/>
    <w:rsid w:val="00AA26F1"/>
    <w:rsid w:val="00AA4C73"/>
    <w:rsid w:val="00AB667D"/>
    <w:rsid w:val="00AD0693"/>
    <w:rsid w:val="00AD2BF2"/>
    <w:rsid w:val="00AD3BCD"/>
    <w:rsid w:val="00B0420D"/>
    <w:rsid w:val="00B05E15"/>
    <w:rsid w:val="00B111FC"/>
    <w:rsid w:val="00B3538B"/>
    <w:rsid w:val="00B3772D"/>
    <w:rsid w:val="00B43913"/>
    <w:rsid w:val="00B443E2"/>
    <w:rsid w:val="00B46140"/>
    <w:rsid w:val="00B72FDB"/>
    <w:rsid w:val="00B80B57"/>
    <w:rsid w:val="00B87057"/>
    <w:rsid w:val="00B92A1B"/>
    <w:rsid w:val="00B935D2"/>
    <w:rsid w:val="00B9561B"/>
    <w:rsid w:val="00BA4EDA"/>
    <w:rsid w:val="00BB3595"/>
    <w:rsid w:val="00BB5500"/>
    <w:rsid w:val="00BD5925"/>
    <w:rsid w:val="00BE7AA0"/>
    <w:rsid w:val="00BF4BB1"/>
    <w:rsid w:val="00BF4E3B"/>
    <w:rsid w:val="00C00026"/>
    <w:rsid w:val="00C10351"/>
    <w:rsid w:val="00C24211"/>
    <w:rsid w:val="00C27EE3"/>
    <w:rsid w:val="00C302FB"/>
    <w:rsid w:val="00C33ACF"/>
    <w:rsid w:val="00C405FB"/>
    <w:rsid w:val="00C4633E"/>
    <w:rsid w:val="00C471A4"/>
    <w:rsid w:val="00C50273"/>
    <w:rsid w:val="00C51FEC"/>
    <w:rsid w:val="00C64EC5"/>
    <w:rsid w:val="00C6644E"/>
    <w:rsid w:val="00C66593"/>
    <w:rsid w:val="00C705CC"/>
    <w:rsid w:val="00C721C8"/>
    <w:rsid w:val="00C95A63"/>
    <w:rsid w:val="00CA03D9"/>
    <w:rsid w:val="00CA52BD"/>
    <w:rsid w:val="00CA52CD"/>
    <w:rsid w:val="00CA63E9"/>
    <w:rsid w:val="00CA702D"/>
    <w:rsid w:val="00CB63E5"/>
    <w:rsid w:val="00CC4E8E"/>
    <w:rsid w:val="00CD4A66"/>
    <w:rsid w:val="00CE255C"/>
    <w:rsid w:val="00CE471D"/>
    <w:rsid w:val="00CE671E"/>
    <w:rsid w:val="00CE7964"/>
    <w:rsid w:val="00CF1181"/>
    <w:rsid w:val="00CF7EE1"/>
    <w:rsid w:val="00D01E69"/>
    <w:rsid w:val="00D03DF8"/>
    <w:rsid w:val="00D202BF"/>
    <w:rsid w:val="00D36632"/>
    <w:rsid w:val="00D46E0E"/>
    <w:rsid w:val="00D47A85"/>
    <w:rsid w:val="00D52A71"/>
    <w:rsid w:val="00D537A3"/>
    <w:rsid w:val="00D66259"/>
    <w:rsid w:val="00D830CA"/>
    <w:rsid w:val="00D85110"/>
    <w:rsid w:val="00D86459"/>
    <w:rsid w:val="00D86AA4"/>
    <w:rsid w:val="00D95669"/>
    <w:rsid w:val="00DA25B9"/>
    <w:rsid w:val="00DB0666"/>
    <w:rsid w:val="00DB0F32"/>
    <w:rsid w:val="00DC7C18"/>
    <w:rsid w:val="00DE1464"/>
    <w:rsid w:val="00DE159A"/>
    <w:rsid w:val="00DE5408"/>
    <w:rsid w:val="00DE58C1"/>
    <w:rsid w:val="00DF1C9E"/>
    <w:rsid w:val="00E20FC6"/>
    <w:rsid w:val="00E2194C"/>
    <w:rsid w:val="00E24D7E"/>
    <w:rsid w:val="00E30B72"/>
    <w:rsid w:val="00E42665"/>
    <w:rsid w:val="00E42F01"/>
    <w:rsid w:val="00E43F4F"/>
    <w:rsid w:val="00E4544B"/>
    <w:rsid w:val="00E72978"/>
    <w:rsid w:val="00E7509C"/>
    <w:rsid w:val="00E83CD2"/>
    <w:rsid w:val="00E91B6A"/>
    <w:rsid w:val="00EA0B7C"/>
    <w:rsid w:val="00EA0BC4"/>
    <w:rsid w:val="00EB222F"/>
    <w:rsid w:val="00EB2BB0"/>
    <w:rsid w:val="00EB2C68"/>
    <w:rsid w:val="00EC186D"/>
    <w:rsid w:val="00EC2FE8"/>
    <w:rsid w:val="00EC5094"/>
    <w:rsid w:val="00EC5F01"/>
    <w:rsid w:val="00ED4112"/>
    <w:rsid w:val="00EF13C3"/>
    <w:rsid w:val="00F021FB"/>
    <w:rsid w:val="00F12D35"/>
    <w:rsid w:val="00F17E93"/>
    <w:rsid w:val="00F2416B"/>
    <w:rsid w:val="00F26FE9"/>
    <w:rsid w:val="00F31921"/>
    <w:rsid w:val="00F37F02"/>
    <w:rsid w:val="00F4745C"/>
    <w:rsid w:val="00F62969"/>
    <w:rsid w:val="00F640F4"/>
    <w:rsid w:val="00F71C69"/>
    <w:rsid w:val="00F777FD"/>
    <w:rsid w:val="00F77914"/>
    <w:rsid w:val="00F80A52"/>
    <w:rsid w:val="00F9795F"/>
    <w:rsid w:val="00FB37BB"/>
    <w:rsid w:val="00FB4BCD"/>
    <w:rsid w:val="00FC21A1"/>
    <w:rsid w:val="00FC329C"/>
    <w:rsid w:val="00FC424B"/>
    <w:rsid w:val="00FD7996"/>
    <w:rsid w:val="00FE28B3"/>
    <w:rsid w:val="00FE789A"/>
    <w:rsid w:val="00FF304F"/>
    <w:rsid w:val="00FF75D2"/>
    <w:rsid w:val="1F733AA5"/>
    <w:rsid w:val="62101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56"/>
    <w:unhideWhenUsed/>
    <w:qFormat/>
    <w:uiPriority w:val="9"/>
    <w:pPr>
      <w:keepNext/>
      <w:keepLines/>
      <w:spacing w:before="260" w:after="260" w:line="416" w:lineRule="auto"/>
      <w:outlineLvl w:val="2"/>
    </w:pPr>
    <w:rPr>
      <w:rFonts w:eastAsia="黑体"/>
      <w:bCs/>
      <w:szCs w:val="32"/>
    </w:rPr>
  </w:style>
  <w:style w:type="character" w:default="1" w:styleId="17">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link w:val="33"/>
    <w:unhideWhenUsed/>
    <w:qFormat/>
    <w:uiPriority w:val="99"/>
    <w:pPr>
      <w:ind w:firstLine="420" w:firstLineChars="200"/>
    </w:pPr>
    <w:rPr>
      <w:rFonts w:ascii="Times New Roman" w:hAnsi="Times New Roman" w:eastAsia="宋体" w:cs="Times New Roman"/>
      <w:szCs w:val="24"/>
    </w:rPr>
  </w:style>
  <w:style w:type="paragraph" w:styleId="3">
    <w:name w:val="Body Text Indent"/>
    <w:basedOn w:val="1"/>
    <w:link w:val="32"/>
    <w:semiHidden/>
    <w:unhideWhenUsed/>
    <w:uiPriority w:val="99"/>
    <w:pPr>
      <w:spacing w:after="120"/>
      <w:ind w:left="420" w:leftChars="200"/>
    </w:pPr>
  </w:style>
  <w:style w:type="paragraph" w:styleId="7">
    <w:name w:val="annotation text"/>
    <w:basedOn w:val="1"/>
    <w:link w:val="30"/>
    <w:unhideWhenUsed/>
    <w:uiPriority w:val="99"/>
    <w:pPr>
      <w:jc w:val="left"/>
    </w:pPr>
  </w:style>
  <w:style w:type="paragraph" w:styleId="8">
    <w:name w:val="toc 3"/>
    <w:basedOn w:val="1"/>
    <w:next w:val="1"/>
    <w:unhideWhenUsed/>
    <w:uiPriority w:val="39"/>
    <w:pPr>
      <w:ind w:left="840" w:leftChars="400"/>
    </w:pPr>
  </w:style>
  <w:style w:type="paragraph" w:styleId="9">
    <w:name w:val="Date"/>
    <w:basedOn w:val="1"/>
    <w:next w:val="1"/>
    <w:link w:val="29"/>
    <w:semiHidden/>
    <w:unhideWhenUsed/>
    <w:qFormat/>
    <w:uiPriority w:val="99"/>
    <w:pPr>
      <w:ind w:left="100" w:leftChars="2500"/>
    </w:pPr>
  </w:style>
  <w:style w:type="paragraph" w:styleId="10">
    <w:name w:val="Balloon Text"/>
    <w:basedOn w:val="1"/>
    <w:link w:val="26"/>
    <w:semiHidden/>
    <w:unhideWhenUsed/>
    <w:qFormat/>
    <w:uiPriority w:val="99"/>
    <w:rPr>
      <w:sz w:val="18"/>
      <w:szCs w:val="18"/>
    </w:rPr>
  </w:style>
  <w:style w:type="paragraph" w:styleId="11">
    <w:name w:val="footer"/>
    <w:basedOn w:val="1"/>
    <w:link w:val="25"/>
    <w:unhideWhenUsed/>
    <w:qFormat/>
    <w:uiPriority w:val="99"/>
    <w:pPr>
      <w:tabs>
        <w:tab w:val="center" w:pos="4153"/>
        <w:tab w:val="right" w:pos="8306"/>
      </w:tabs>
      <w:snapToGrid w:val="0"/>
      <w:jc w:val="left"/>
    </w:pPr>
    <w:rPr>
      <w:sz w:val="18"/>
      <w:szCs w:val="18"/>
    </w:rPr>
  </w:style>
  <w:style w:type="paragraph" w:styleId="12">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unhideWhenUsed/>
    <w:qFormat/>
    <w:uiPriority w:val="39"/>
  </w:style>
  <w:style w:type="paragraph" w:styleId="14">
    <w:name w:val="toc 2"/>
    <w:basedOn w:val="1"/>
    <w:next w:val="1"/>
    <w:autoRedefine/>
    <w:unhideWhenUsed/>
    <w:qFormat/>
    <w:uiPriority w:val="39"/>
    <w:pPr>
      <w:ind w:left="420" w:leftChars="200"/>
    </w:p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unhideWhenUsed/>
    <w:qFormat/>
    <w:uiPriority w:val="99"/>
    <w:rPr>
      <w:color w:val="0563C1" w:themeColor="hyperlink"/>
      <w:u w:val="single"/>
      <w14:textFill>
        <w14:solidFill>
          <w14:schemeClr w14:val="hlink"/>
        </w14:solidFill>
      </w14:textFill>
    </w:rPr>
  </w:style>
  <w:style w:type="character" w:styleId="19">
    <w:name w:val="annotation reference"/>
    <w:unhideWhenUsed/>
    <w:qFormat/>
    <w:uiPriority w:val="99"/>
    <w:rPr>
      <w:sz w:val="21"/>
      <w:szCs w:val="21"/>
    </w:rPr>
  </w:style>
  <w:style w:type="paragraph" w:styleId="20">
    <w:name w:val="List Paragraph"/>
    <w:basedOn w:val="1"/>
    <w:qFormat/>
    <w:uiPriority w:val="34"/>
    <w:pPr>
      <w:ind w:firstLine="420" w:firstLineChars="200"/>
    </w:pPr>
  </w:style>
  <w:style w:type="character" w:customStyle="1" w:styleId="21">
    <w:name w:val="标题 2 Char"/>
    <w:basedOn w:val="17"/>
    <w:link w:val="5"/>
    <w:qFormat/>
    <w:uiPriority w:val="9"/>
    <w:rPr>
      <w:rFonts w:asciiTheme="majorHAnsi" w:hAnsiTheme="majorHAnsi" w:eastAsiaTheme="majorEastAsia" w:cstheme="majorBidi"/>
      <w:b/>
      <w:bCs/>
      <w:sz w:val="32"/>
      <w:szCs w:val="32"/>
    </w:rPr>
  </w:style>
  <w:style w:type="character" w:customStyle="1" w:styleId="22">
    <w:name w:val="标题 1 Char"/>
    <w:basedOn w:val="17"/>
    <w:link w:val="4"/>
    <w:qFormat/>
    <w:uiPriority w:val="9"/>
    <w:rPr>
      <w:b/>
      <w:bCs/>
      <w:kern w:val="44"/>
      <w:sz w:val="44"/>
      <w:szCs w:val="44"/>
    </w:rPr>
  </w:style>
  <w:style w:type="paragraph" w:customStyle="1" w:styleId="23">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24">
    <w:name w:val="页眉 Char"/>
    <w:basedOn w:val="17"/>
    <w:link w:val="12"/>
    <w:qFormat/>
    <w:uiPriority w:val="99"/>
    <w:rPr>
      <w:sz w:val="18"/>
      <w:szCs w:val="18"/>
    </w:rPr>
  </w:style>
  <w:style w:type="character" w:customStyle="1" w:styleId="25">
    <w:name w:val="页脚 Char"/>
    <w:basedOn w:val="17"/>
    <w:link w:val="11"/>
    <w:qFormat/>
    <w:uiPriority w:val="99"/>
    <w:rPr>
      <w:sz w:val="18"/>
      <w:szCs w:val="18"/>
    </w:rPr>
  </w:style>
  <w:style w:type="character" w:customStyle="1" w:styleId="26">
    <w:name w:val="批注框文本 Char"/>
    <w:basedOn w:val="17"/>
    <w:link w:val="10"/>
    <w:semiHidden/>
    <w:qFormat/>
    <w:uiPriority w:val="99"/>
    <w:rPr>
      <w:sz w:val="18"/>
      <w:szCs w:val="18"/>
    </w:rPr>
  </w:style>
  <w:style w:type="character" w:customStyle="1" w:styleId="27">
    <w:name w:val="段 Char"/>
    <w:link w:val="28"/>
    <w:qFormat/>
    <w:uiPriority w:val="0"/>
    <w:rPr>
      <w:rFonts w:ascii="宋体"/>
    </w:rPr>
  </w:style>
  <w:style w:type="paragraph" w:customStyle="1" w:styleId="28">
    <w:name w:val="段"/>
    <w:link w:val="27"/>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character" w:customStyle="1" w:styleId="29">
    <w:name w:val="日期 Char"/>
    <w:basedOn w:val="17"/>
    <w:link w:val="9"/>
    <w:semiHidden/>
    <w:qFormat/>
    <w:uiPriority w:val="99"/>
  </w:style>
  <w:style w:type="character" w:customStyle="1" w:styleId="30">
    <w:name w:val="批注文字 Char"/>
    <w:basedOn w:val="17"/>
    <w:link w:val="7"/>
    <w:qFormat/>
    <w:uiPriority w:val="99"/>
  </w:style>
  <w:style w:type="character" w:customStyle="1" w:styleId="31">
    <w:name w:val="批注文字 Char1"/>
    <w:basedOn w:val="17"/>
    <w:semiHidden/>
    <w:qFormat/>
    <w:uiPriority w:val="99"/>
  </w:style>
  <w:style w:type="character" w:customStyle="1" w:styleId="32">
    <w:name w:val="正文文本缩进 Char"/>
    <w:basedOn w:val="17"/>
    <w:link w:val="3"/>
    <w:semiHidden/>
    <w:qFormat/>
    <w:uiPriority w:val="99"/>
  </w:style>
  <w:style w:type="character" w:customStyle="1" w:styleId="33">
    <w:name w:val="正文首行缩进 2 Char"/>
    <w:basedOn w:val="32"/>
    <w:link w:val="2"/>
    <w:qFormat/>
    <w:uiPriority w:val="99"/>
    <w:rPr>
      <w:rFonts w:ascii="Times New Roman" w:hAnsi="Times New Roman" w:eastAsia="宋体" w:cs="Times New Roman"/>
      <w:szCs w:val="24"/>
    </w:rPr>
  </w:style>
  <w:style w:type="paragraph" w:customStyle="1" w:styleId="34">
    <w:name w:val="标准文件_三级无标题"/>
    <w:basedOn w:val="1"/>
    <w:qFormat/>
    <w:uiPriority w:val="0"/>
    <w:pPr>
      <w:widowControl/>
      <w:numPr>
        <w:ilvl w:val="4"/>
        <w:numId w:val="1"/>
      </w:numPr>
    </w:pPr>
    <w:rPr>
      <w:rFonts w:ascii="宋体" w:hAnsi="Times New Roman" w:eastAsia="宋体" w:cs="Times New Roman"/>
      <w:kern w:val="0"/>
      <w:szCs w:val="20"/>
    </w:rPr>
  </w:style>
  <w:style w:type="paragraph" w:customStyle="1" w:styleId="35">
    <w:name w:val="标准文件_二级无标题"/>
    <w:basedOn w:val="1"/>
    <w:qFormat/>
    <w:uiPriority w:val="0"/>
    <w:pPr>
      <w:numPr>
        <w:ilvl w:val="3"/>
        <w:numId w:val="1"/>
      </w:numPr>
    </w:pPr>
    <w:rPr>
      <w:rFonts w:ascii="宋体" w:hAnsi="Times New Roman" w:eastAsia="宋体" w:cs="Times New Roman"/>
      <w:kern w:val="0"/>
      <w:szCs w:val="20"/>
    </w:rPr>
  </w:style>
  <w:style w:type="character" w:styleId="36">
    <w:name w:val="Placeholder Text"/>
    <w:basedOn w:val="17"/>
    <w:semiHidden/>
    <w:qFormat/>
    <w:uiPriority w:val="99"/>
    <w:rPr>
      <w:color w:val="808080"/>
    </w:rPr>
  </w:style>
  <w:style w:type="paragraph" w:customStyle="1" w:styleId="37">
    <w:name w:val="标准文件_二级条标题"/>
    <w:next w:val="1"/>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paragraph" w:customStyle="1" w:styleId="38">
    <w:name w:val="标准文件_三级条标题"/>
    <w:basedOn w:val="37"/>
    <w:next w:val="1"/>
    <w:qFormat/>
    <w:uiPriority w:val="0"/>
    <w:pPr>
      <w:widowControl/>
      <w:numPr>
        <w:ilvl w:val="4"/>
      </w:numPr>
      <w:outlineLvl w:val="3"/>
    </w:pPr>
  </w:style>
  <w:style w:type="paragraph" w:customStyle="1" w:styleId="39">
    <w:name w:val="标准文件_四级条标题"/>
    <w:next w:val="1"/>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paragraph" w:customStyle="1" w:styleId="40">
    <w:name w:val="标准文件_五级条标题"/>
    <w:next w:val="1"/>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41">
    <w:name w:val="标准文件_章标题"/>
    <w:next w:val="1"/>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42">
    <w:name w:val="标准文件_一级条标题"/>
    <w:basedOn w:val="41"/>
    <w:next w:val="1"/>
    <w:qFormat/>
    <w:uiPriority w:val="0"/>
    <w:pPr>
      <w:numPr>
        <w:ilvl w:val="2"/>
      </w:numPr>
      <w:spacing w:beforeLines="50" w:afterLines="50"/>
      <w:outlineLvl w:val="1"/>
    </w:pPr>
  </w:style>
  <w:style w:type="paragraph" w:customStyle="1" w:styleId="43">
    <w:name w:val="标准文件_数字编号列项（二级）"/>
    <w:qFormat/>
    <w:uiPriority w:val="0"/>
    <w:pPr>
      <w:numPr>
        <w:ilvl w:val="1"/>
        <w:numId w:val="3"/>
      </w:numPr>
      <w:jc w:val="both"/>
    </w:pPr>
    <w:rPr>
      <w:rFonts w:ascii="宋体" w:hAnsi="Times New Roman" w:eastAsia="宋体" w:cs="Times New Roman"/>
      <w:sz w:val="21"/>
      <w:lang w:val="en-US" w:eastAsia="zh-CN" w:bidi="ar-SA"/>
    </w:rPr>
  </w:style>
  <w:style w:type="paragraph" w:customStyle="1" w:styleId="44">
    <w:name w:val="标准文件_编号列项（三级）"/>
    <w:qFormat/>
    <w:uiPriority w:val="0"/>
    <w:pPr>
      <w:numPr>
        <w:ilvl w:val="2"/>
        <w:numId w:val="3"/>
      </w:numPr>
    </w:pPr>
    <w:rPr>
      <w:rFonts w:ascii="宋体" w:hAnsi="Times New Roman" w:eastAsia="宋体" w:cs="Times New Roman"/>
      <w:sz w:val="21"/>
      <w:lang w:val="en-US" w:eastAsia="zh-CN" w:bidi="ar-SA"/>
    </w:rPr>
  </w:style>
  <w:style w:type="paragraph" w:customStyle="1" w:styleId="45">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46">
    <w:name w:val="标准文件_字母编号列项（一级）"/>
    <w:qFormat/>
    <w:uiPriority w:val="0"/>
    <w:pPr>
      <w:numPr>
        <w:ilvl w:val="0"/>
        <w:numId w:val="3"/>
      </w:numPr>
      <w:jc w:val="both"/>
    </w:pPr>
    <w:rPr>
      <w:rFonts w:ascii="宋体" w:hAnsi="Times New Roman" w:eastAsia="宋体" w:cs="Times New Roman"/>
      <w:sz w:val="21"/>
      <w:lang w:val="en-US" w:eastAsia="zh-CN" w:bidi="ar-SA"/>
    </w:rPr>
  </w:style>
  <w:style w:type="paragraph" w:customStyle="1" w:styleId="47">
    <w:name w:val="缩进"/>
    <w:basedOn w:val="1"/>
    <w:link w:val="48"/>
    <w:autoRedefine/>
    <w:qFormat/>
    <w:uiPriority w:val="0"/>
    <w:pPr>
      <w:spacing w:line="300" w:lineRule="auto"/>
      <w:ind w:firstLine="200" w:firstLineChars="200"/>
    </w:pPr>
    <w:rPr>
      <w:rFonts w:ascii="黑体" w:hAnsi="黑体" w:eastAsia="宋体" w:cs="宋体"/>
      <w:szCs w:val="21"/>
    </w:rPr>
  </w:style>
  <w:style w:type="character" w:customStyle="1" w:styleId="48">
    <w:name w:val="缩进 Char"/>
    <w:basedOn w:val="17"/>
    <w:link w:val="47"/>
    <w:autoRedefine/>
    <w:qFormat/>
    <w:uiPriority w:val="0"/>
    <w:rPr>
      <w:rFonts w:ascii="黑体" w:hAnsi="黑体" w:eastAsia="宋体" w:cs="宋体"/>
      <w:szCs w:val="21"/>
    </w:rPr>
  </w:style>
  <w:style w:type="paragraph" w:customStyle="1" w:styleId="49">
    <w:name w:val="二级条标题"/>
    <w:basedOn w:val="1"/>
    <w:next w:val="28"/>
    <w:qFormat/>
    <w:uiPriority w:val="0"/>
    <w:pPr>
      <w:widowControl/>
      <w:numPr>
        <w:ilvl w:val="2"/>
        <w:numId w:val="4"/>
      </w:numPr>
      <w:spacing w:before="50" w:beforeLines="50" w:after="50" w:afterLines="50"/>
      <w:jc w:val="left"/>
      <w:outlineLvl w:val="3"/>
    </w:pPr>
    <w:rPr>
      <w:rFonts w:ascii="黑体" w:hAnsi="Times New Roman" w:eastAsia="黑体" w:cs="Times New Roman"/>
      <w:kern w:val="0"/>
      <w:szCs w:val="21"/>
    </w:rPr>
  </w:style>
  <w:style w:type="paragraph" w:customStyle="1" w:styleId="50">
    <w:name w:val="数字编号列项（二级）"/>
    <w:qFormat/>
    <w:uiPriority w:val="0"/>
    <w:pPr>
      <w:numPr>
        <w:ilvl w:val="1"/>
        <w:numId w:val="5"/>
      </w:numPr>
      <w:tabs>
        <w:tab w:val="left" w:pos="1260"/>
      </w:tabs>
      <w:jc w:val="both"/>
    </w:pPr>
    <w:rPr>
      <w:rFonts w:ascii="宋体" w:hAnsi="Times New Roman" w:eastAsia="宋体" w:cs="Times New Roman"/>
      <w:sz w:val="21"/>
      <w:lang w:val="en-US" w:eastAsia="zh-CN" w:bidi="ar-SA"/>
    </w:rPr>
  </w:style>
  <w:style w:type="paragraph" w:customStyle="1" w:styleId="51">
    <w:name w:val="字母编号列项（一级）"/>
    <w:qFormat/>
    <w:uiPriority w:val="0"/>
    <w:pPr>
      <w:numPr>
        <w:ilvl w:val="0"/>
        <w:numId w:val="5"/>
      </w:numPr>
      <w:tabs>
        <w:tab w:val="left" w:pos="840"/>
      </w:tabs>
      <w:jc w:val="both"/>
    </w:pPr>
    <w:rPr>
      <w:rFonts w:ascii="宋体" w:hAnsi="Times New Roman" w:eastAsia="宋体" w:cs="Times New Roman"/>
      <w:sz w:val="21"/>
      <w:lang w:val="en-US" w:eastAsia="zh-CN" w:bidi="ar-SA"/>
    </w:rPr>
  </w:style>
  <w:style w:type="paragraph" w:customStyle="1" w:styleId="52">
    <w:name w:val="三级条标题"/>
    <w:basedOn w:val="49"/>
    <w:next w:val="28"/>
    <w:qFormat/>
    <w:uiPriority w:val="0"/>
    <w:pPr>
      <w:numPr>
        <w:ilvl w:val="0"/>
        <w:numId w:val="0"/>
      </w:numPr>
      <w:outlineLvl w:val="4"/>
    </w:pPr>
  </w:style>
  <w:style w:type="paragraph" w:customStyle="1" w:styleId="53">
    <w:name w:val="二级无"/>
    <w:basedOn w:val="49"/>
    <w:qFormat/>
    <w:uiPriority w:val="0"/>
    <w:pPr>
      <w:spacing w:before="0" w:beforeLines="0" w:after="0" w:afterLines="0"/>
      <w:ind w:left="3119" w:firstLine="0"/>
    </w:pPr>
    <w:rPr>
      <w:rFonts w:ascii="宋体" w:eastAsia="宋体"/>
    </w:rPr>
  </w:style>
  <w:style w:type="paragraph" w:customStyle="1" w:styleId="54">
    <w:name w:val="一级条标题"/>
    <w:next w:val="28"/>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55">
    <w:name w:val="三级无"/>
    <w:basedOn w:val="52"/>
    <w:qFormat/>
    <w:uiPriority w:val="0"/>
    <w:pPr>
      <w:spacing w:before="0" w:beforeLines="0" w:after="0" w:afterLines="0"/>
    </w:pPr>
    <w:rPr>
      <w:rFonts w:ascii="宋体" w:eastAsia="宋体"/>
    </w:rPr>
  </w:style>
  <w:style w:type="character" w:customStyle="1" w:styleId="56">
    <w:name w:val="标题 3 Char"/>
    <w:basedOn w:val="17"/>
    <w:link w:val="6"/>
    <w:qFormat/>
    <w:uiPriority w:val="9"/>
    <w:rPr>
      <w:rFonts w:eastAsia="黑体"/>
      <w:bCs/>
      <w:szCs w:val="32"/>
    </w:rPr>
  </w:style>
  <w:style w:type="paragraph" w:customStyle="1" w:styleId="57">
    <w:name w:val="标准文件_目录标题"/>
    <w:basedOn w:val="1"/>
    <w:qFormat/>
    <w:uiPriority w:val="0"/>
    <w:pPr>
      <w:spacing w:after="150" w:afterLines="150"/>
      <w:jc w:val="center"/>
    </w:pPr>
    <w:rPr>
      <w:rFonts w:ascii="黑体" w:eastAsia="黑体"/>
      <w:sz w:val="32"/>
    </w:rPr>
  </w:style>
  <w:style w:type="paragraph" w:customStyle="1" w:styleId="58">
    <w:name w:val="标准文件_前言、引言标题"/>
    <w:next w:val="1"/>
    <w:qFormat/>
    <w:uiPriority w:val="0"/>
    <w:pPr>
      <w:numPr>
        <w:ilvl w:val="0"/>
        <w:numId w:val="6"/>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59">
    <w:name w:val="图文"/>
    <w:qFormat/>
    <w:uiPriority w:val="0"/>
    <w:pPr>
      <w:widowControl w:val="0"/>
      <w:snapToGrid w:val="0"/>
      <w:jc w:val="center"/>
    </w:pPr>
    <w:rPr>
      <w:rFonts w:ascii="Times New Roman" w:hAnsi="Times New Roman" w:eastAsia="宋体" w:cs="Times New Roman"/>
      <w:color w:val="000000"/>
      <w:sz w:val="16"/>
      <w:szCs w:val="16"/>
      <w:lang w:val="en-US" w:eastAsia="zh-CN" w:bidi="ar-SA"/>
    </w:rPr>
  </w:style>
  <w:style w:type="paragraph" w:customStyle="1" w:styleId="60">
    <w:name w:val="附录标识"/>
    <w:basedOn w:val="1"/>
    <w:next w:val="28"/>
    <w:qFormat/>
    <w:uiPriority w:val="0"/>
    <w:pPr>
      <w:keepNext/>
      <w:widowControl/>
      <w:numPr>
        <w:ilvl w:val="0"/>
        <w:numId w:val="7"/>
      </w:numPr>
      <w:shd w:val="clear" w:color="FFFFFF" w:fill="FFFFFF"/>
      <w:tabs>
        <w:tab w:val="left" w:pos="360"/>
        <w:tab w:val="left" w:pos="6405"/>
      </w:tabs>
      <w:spacing w:before="640" w:after="280"/>
      <w:jc w:val="center"/>
      <w:outlineLvl w:val="0"/>
    </w:pPr>
    <w:rPr>
      <w:rFonts w:ascii="黑体" w:hAnsi="Times New Roman" w:eastAsia="黑体" w:cs="Times New Roman"/>
      <w:kern w:val="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9B24A4-926C-49CB-AE5C-6CA021BBBD8D}">
  <ds:schemaRefs/>
</ds:datastoreItem>
</file>

<file path=docProps/app.xml><?xml version="1.0" encoding="utf-8"?>
<Properties xmlns="http://schemas.openxmlformats.org/officeDocument/2006/extended-properties" xmlns:vt="http://schemas.openxmlformats.org/officeDocument/2006/docPropsVTypes">
  <Template>Normal</Template>
  <Company>神州网信技术有限公司</Company>
  <Pages>21</Pages>
  <Words>3394</Words>
  <Characters>4263</Characters>
  <Lines>117</Lines>
  <Paragraphs>33</Paragraphs>
  <TotalTime>1363</TotalTime>
  <ScaleCrop>false</ScaleCrop>
  <LinksUpToDate>false</LinksUpToDate>
  <CharactersWithSpaces>4728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2024-12-20T03:27:00Z</dcterms:created>
  <dc:creator>xlx</dc:creator>
  <cp:lastModifiedBy>刘伟</cp:lastModifiedBy>
  <dcterms:modified xsi:type="dcterms:W3CDTF">2025-06-30T08:50:27Z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eyJoZGlkIjoiMTZkYzVjODhiNWYzNWRlMjE3NTViMTIwMWU2YWIwNjAiLCJ1c2VySWQiOiI0MzAyMzQwNDMifQ==</vt:lpwstr>
  </property>
  <property fmtid="{D5CDD505-2E9C-101B-9397-08002B2CF9AE}" pid="3" name="KSOProductBuildVer">
    <vt:lpwstr>2052-12.1.0.21541</vt:lpwstr>
  </property>
  <property fmtid="{D5CDD505-2E9C-101B-9397-08002B2CF9AE}" pid="4" name="ICV">
    <vt:lpwstr>CF34CB4AA5E9407EA7194BFC9ADFEE6C_13</vt:lpwstr>
  </property>
</Properties>
</file>