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1"/>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9"/>
        <w:gridCol w:w="8855"/>
      </w:tblGrid>
      <w:tr w14:paraId="2E0FF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509" w:type="dxa"/>
          </w:tcPr>
          <w:p w14:paraId="3C3E0362">
            <w:pPr>
              <w:pStyle w:val="20"/>
              <w:framePr w:wrap="notBeside" w:vAnchor="page" w:hAnchor="page" w:x="1372" w:y="568"/>
              <w:tabs>
                <w:tab w:val="clear" w:pos="4153"/>
                <w:tab w:val="clear" w:pos="8306"/>
              </w:tabs>
              <w:spacing w:line="240" w:lineRule="auto"/>
              <w:jc w:val="left"/>
              <w:rPr>
                <w:rFonts w:ascii="黑体" w:hAnsi="黑体" w:eastAsia="黑体"/>
                <w:sz w:val="21"/>
                <w:szCs w:val="21"/>
              </w:rPr>
            </w:pPr>
            <w:bookmarkStart w:id="102" w:name="_GoBack"/>
            <w:bookmarkEnd w:id="102"/>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20A1F29E">
            <w:pPr>
              <w:pStyle w:val="20"/>
              <w:framePr w:wrap="notBeside" w:vAnchor="page" w:hAnchor="page" w:x="1372" w:y="568"/>
              <w:tabs>
                <w:tab w:val="clear" w:pos="4153"/>
                <w:tab w:val="clear" w:pos="8306"/>
              </w:tabs>
              <w:spacing w:line="240" w:lineRule="auto"/>
              <w:jc w:val="both"/>
              <w:rPr>
                <w:rFonts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点击此处添加ICS号</w:t>
            </w:r>
            <w:r>
              <w:rPr>
                <w:rFonts w:ascii="黑体" w:hAnsi="黑体" w:eastAsia="黑体"/>
                <w:sz w:val="21"/>
                <w:szCs w:val="21"/>
              </w:rPr>
              <w:fldChar w:fldCharType="end"/>
            </w:r>
            <w:bookmarkEnd w:id="0"/>
          </w:p>
        </w:tc>
      </w:tr>
      <w:tr w14:paraId="72761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07AD293D">
            <w:pPr>
              <w:pStyle w:val="20"/>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tbl>
            <w:tblPr>
              <w:tblStyle w:val="31"/>
              <w:tblpPr w:vertAnchor="page" w:horzAnchor="margin" w:tblpX="1" w:tblpY="341"/>
              <w:tblOverlap w:val="never"/>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0" w:type="dxa"/>
                <w:bottom w:w="0" w:type="dxa"/>
                <w:right w:w="113" w:type="dxa"/>
              </w:tblCellMar>
            </w:tblPr>
            <w:tblGrid>
              <w:gridCol w:w="9242"/>
            </w:tblGrid>
            <w:tr w14:paraId="395F6123">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113" w:type="dxa"/>
                </w:tblCellMar>
              </w:tblPrEx>
              <w:trPr>
                <w:trHeight w:val="1021" w:hRule="exact"/>
              </w:trPr>
              <w:tc>
                <w:tcPr>
                  <w:tcW w:w="9242" w:type="dxa"/>
                  <w:vAlign w:val="center"/>
                </w:tcPr>
                <w:p w14:paraId="6D3CF682">
                  <w:pPr>
                    <w:pStyle w:val="54"/>
                    <w:framePr w:wrap="notBeside" w:vAnchor="page" w:hAnchor="page" w:x="1372" w:y="568"/>
                    <w:ind w:left="420" w:right="624"/>
                    <w:rPr>
                      <w:rFonts w:ascii="宋体" w:hAnsi="宋体"/>
                      <w:sz w:val="28"/>
                      <w:szCs w:val="28"/>
                    </w:rPr>
                  </w:pPr>
                  <w:r>
                    <w:rPr>
                      <w:sz w:val="21"/>
                      <w:szCs w:val="21"/>
                    </w:rPr>
                    <w:t xml:space="preserve"> </w:t>
                  </w:r>
                </w:p>
              </w:tc>
            </w:tr>
          </w:tbl>
          <w:p w14:paraId="5ED5EFF9">
            <w:pPr>
              <w:pStyle w:val="20"/>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点击此处添加CCS号</w:t>
            </w:r>
            <w:r>
              <w:rPr>
                <w:rFonts w:ascii="黑体" w:hAnsi="黑体" w:eastAsia="黑体"/>
                <w:sz w:val="21"/>
                <w:szCs w:val="21"/>
              </w:rPr>
              <w:fldChar w:fldCharType="end"/>
            </w:r>
            <w:bookmarkEnd w:id="1"/>
          </w:p>
        </w:tc>
      </w:tr>
    </w:tbl>
    <w:p w14:paraId="21E0B206">
      <w:pPr>
        <w:pStyle w:val="55"/>
        <w:framePr w:w="9639" w:h="1401" w:hRule="exact" w:hSpace="181" w:vSpace="181" w:wrap="around" w:hAnchor="page" w:x="1305" w:y="1481"/>
        <w:rPr>
          <w:rFonts w:ascii="黑体" w:hAnsi="黑体" w:eastAsia="黑体"/>
          <w:b w:val="0"/>
          <w:bCs w:val="0"/>
          <w:w w:val="100"/>
          <w:sz w:val="96"/>
          <w:szCs w:val="96"/>
        </w:rPr>
      </w:pPr>
      <w:bookmarkStart w:id="2" w:name="_Hlk26473981"/>
      <w:r>
        <w:rPr>
          <w:rFonts w:hint="eastAsia" w:ascii="黑体" w:eastAsia="黑体"/>
          <w:b w:val="0"/>
          <w:w w:val="100"/>
          <w:sz w:val="96"/>
          <w:szCs w:val="28"/>
        </w:rPr>
        <w:t>团体</w:t>
      </w:r>
      <w:r>
        <w:rPr>
          <w:rFonts w:hint="eastAsia" w:ascii="黑体" w:hAnsi="黑体" w:eastAsia="黑体"/>
          <w:b w:val="0"/>
          <w:bCs w:val="0"/>
          <w:w w:val="100"/>
          <w:sz w:val="96"/>
          <w:szCs w:val="96"/>
        </w:rPr>
        <w:t>标准</w:t>
      </w:r>
    </w:p>
    <w:bookmarkEnd w:id="2"/>
    <w:p w14:paraId="6E49257A">
      <w:pPr>
        <w:pStyle w:val="200"/>
      </w:pPr>
      <w:r>
        <w:t>T/</w:t>
      </w:r>
      <w:r>
        <w:fldChar w:fldCharType="begin">
          <w:ffData>
            <w:name w:val="文字1"/>
            <w:enabled/>
            <w:calcOnExit w:val="0"/>
            <w:textInput>
              <w:default w:val="COSOCC"/>
            </w:textInput>
          </w:ffData>
        </w:fldChar>
      </w:r>
      <w:bookmarkStart w:id="3" w:name="文字1"/>
      <w:r>
        <w:instrText xml:space="preserve"> FORMTEXT </w:instrText>
      </w:r>
      <w:r>
        <w:fldChar w:fldCharType="separate"/>
      </w:r>
      <w:r>
        <w:t>COSOCC</w:t>
      </w:r>
      <w:r>
        <w:fldChar w:fldCharType="end"/>
      </w:r>
      <w:bookmarkEnd w:id="3"/>
      <w:r>
        <w:t xml:space="preserve"> </w:t>
      </w:r>
      <w:r>
        <w:fldChar w:fldCharType="begin">
          <w:ffData>
            <w:name w:val="NSTD_CODE_F"/>
            <w:enabled/>
            <w:calcOnExit w:val="0"/>
            <w:textInput>
              <w:default w:val="XXXX"/>
            </w:textInput>
          </w:ffData>
        </w:fldChar>
      </w:r>
      <w:bookmarkStart w:id="4" w:name="NSTD_CODE_F"/>
      <w:r>
        <w:instrText xml:space="preserve"> FORMTEXT </w:instrText>
      </w:r>
      <w:r>
        <w:fldChar w:fldCharType="separate"/>
      </w:r>
      <w:r>
        <w:t>XXXX</w:t>
      </w:r>
      <w:r>
        <w:fldChar w:fldCharType="end"/>
      </w:r>
      <w:bookmarkEnd w:id="4"/>
      <w:r>
        <w:rPr>
          <w:rFonts w:hAnsi="黑体"/>
        </w:rPr>
        <w:t>—</w:t>
      </w:r>
      <w:r>
        <w:fldChar w:fldCharType="begin">
          <w:ffData>
            <w:name w:val="NSTD_CODE_B"/>
            <w:enabled/>
            <w:calcOnExit w:val="0"/>
            <w:textInput>
              <w:default w:val="XXXX"/>
            </w:textInput>
          </w:ffData>
        </w:fldChar>
      </w:r>
      <w:bookmarkStart w:id="5" w:name="NSTD_CODE_B"/>
      <w:r>
        <w:instrText xml:space="preserve"> FORMTEXT </w:instrText>
      </w:r>
      <w:r>
        <w:fldChar w:fldCharType="separate"/>
      </w:r>
      <w:r>
        <w:t>XXXX</w:t>
      </w:r>
      <w:r>
        <w:fldChar w:fldCharType="end"/>
      </w:r>
      <w:bookmarkEnd w:id="5"/>
    </w:p>
    <w:p w14:paraId="25E48657">
      <w:pPr>
        <w:pStyle w:val="201"/>
        <w:rPr>
          <w:rFonts w:hAnsi="黑体"/>
        </w:rPr>
      </w:pPr>
      <w:r>
        <w:rPr>
          <w:rFonts w:hAnsi="黑体"/>
        </w:rPr>
        <w:fldChar w:fldCharType="begin">
          <w:ffData>
            <w:name w:val="OSTD_CODE"/>
            <w:enabled/>
            <w:calcOnExit w:val="0"/>
            <w:textInput/>
          </w:ffData>
        </w:fldChar>
      </w:r>
      <w:bookmarkStart w:id="6" w:name="OSTD_CODE"/>
      <w:r>
        <w:rPr>
          <w:rFonts w:hAnsi="黑体"/>
        </w:rPr>
        <w:instrText xml:space="preserve"> FORMTEXT </w:instrText>
      </w:r>
      <w:r>
        <w:rPr>
          <w:rFonts w:hAnsi="黑体"/>
        </w:rPr>
        <w:fldChar w:fldCharType="separate"/>
      </w:r>
      <w:r>
        <w:rPr>
          <w:rFonts w:hAnsi="黑体"/>
        </w:rPr>
        <w:t>     </w:t>
      </w:r>
      <w:r>
        <w:rPr>
          <w:rFonts w:hAnsi="黑体"/>
        </w:rPr>
        <w:fldChar w:fldCharType="end"/>
      </w:r>
      <w:bookmarkEnd w:id="6"/>
    </w:p>
    <w:p w14:paraId="3B08865C">
      <w:pPr>
        <w:spacing w:line="240" w:lineRule="auto"/>
        <w:rPr>
          <w:rFonts w:ascii="黑体" w:hAnsi="黑体" w:eastAsia="黑体"/>
          <w:kern w:val="0"/>
          <w:sz w:val="10"/>
          <w:szCs w:val="10"/>
        </w:rPr>
      </w:pPr>
      <w:r>
        <w:rPr>
          <w:rFonts w:ascii="黑体" w:hAnsi="黑体" w:eastAsia="黑体"/>
          <w:kern w:val="0"/>
          <w:sz w:val="10"/>
          <w:szCs w:val="10"/>
        </w:rPr>
        <mc:AlternateContent>
          <mc:Choice Requires="wps">
            <w:drawing>
              <wp:anchor distT="0" distB="0" distL="114300" distR="114300" simplePos="0" relativeHeight="251660288"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60288;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4BAEE4CF">
      <w:pPr>
        <w:pStyle w:val="55"/>
        <w:framePr w:w="9639" w:h="6976" w:hRule="exact" w:hSpace="0" w:vSpace="0" w:wrap="around" w:hAnchor="page" w:y="6408"/>
        <w:jc w:val="center"/>
        <w:rPr>
          <w:rFonts w:ascii="黑体" w:hAnsi="黑体" w:eastAsia="黑体"/>
          <w:b w:val="0"/>
          <w:bCs w:val="0"/>
          <w:w w:val="100"/>
        </w:rPr>
      </w:pPr>
    </w:p>
    <w:p w14:paraId="7311CC67">
      <w:pPr>
        <w:pStyle w:val="202"/>
        <w:framePr w:h="6974" w:hRule="exact" w:wrap="around" w:x="1419" w:anchorLock="1"/>
      </w:pPr>
      <w:bookmarkStart w:id="7" w:name="CSTD_NAME"/>
      <w:r>
        <w:rPr>
          <w:rFonts w:hint="eastAsia" w:ascii="黑体" w:hAnsi="黑体" w:eastAsia="黑体" w:cs="Times New Roman"/>
          <w:bCs/>
          <w:sz w:val="52"/>
          <w:lang w:val="en-US" w:eastAsia="zh-CN" w:bidi="ar-SA"/>
        </w:rPr>
        <w:fldChar w:fldCharType="begin">
          <w:ffData>
            <w:name w:val="CSTD_NAME"/>
            <w:enabled/>
            <w:calcOnExit w:val="0"/>
            <w:textInput>
              <w:default w:val="水利工程施工数字一体化技术规程"/>
            </w:textInput>
          </w:ffData>
        </w:fldChar>
      </w:r>
      <w:r>
        <w:rPr>
          <w:rFonts w:hint="eastAsia" w:ascii="黑体" w:hAnsi="黑体" w:eastAsia="黑体" w:cs="Times New Roman"/>
          <w:bCs/>
          <w:sz w:val="52"/>
          <w:lang w:val="en-US" w:eastAsia="zh-CN" w:bidi="ar-SA"/>
        </w:rPr>
        <w:instrText xml:space="preserve">FORMTEXT</w:instrText>
      </w:r>
      <w:r>
        <w:rPr>
          <w:rFonts w:hint="eastAsia" w:ascii="黑体" w:hAnsi="黑体" w:eastAsia="黑体" w:cs="Times New Roman"/>
          <w:bCs/>
          <w:sz w:val="52"/>
          <w:lang w:val="en-US" w:eastAsia="zh-CN" w:bidi="ar-SA"/>
        </w:rPr>
        <w:fldChar w:fldCharType="separate"/>
      </w:r>
      <w:r>
        <w:rPr>
          <w:rFonts w:hint="eastAsia" w:cs="Times New Roman"/>
          <w:bCs/>
          <w:sz w:val="52"/>
          <w:lang w:val="en-US" w:eastAsia="zh-CN" w:bidi="ar-SA"/>
        </w:rPr>
        <w:t>水利工程施工智能数字集成技术规程</w:t>
      </w:r>
      <w:r>
        <w:rPr>
          <w:rFonts w:hint="eastAsia" w:ascii="黑体" w:hAnsi="黑体" w:eastAsia="黑体" w:cs="Times New Roman"/>
          <w:bCs/>
          <w:sz w:val="52"/>
          <w:lang w:val="en-US" w:eastAsia="zh-CN" w:bidi="ar-SA"/>
        </w:rPr>
        <w:fldChar w:fldCharType="end"/>
      </w:r>
      <w:bookmarkEnd w:id="7"/>
    </w:p>
    <w:p w14:paraId="29C6244D">
      <w:pPr>
        <w:framePr w:w="9639" w:h="6974" w:hRule="exact" w:wrap="around" w:vAnchor="page" w:hAnchor="page" w:x="1419" w:y="6408" w:anchorLock="1"/>
        <w:ind w:left="-1418"/>
      </w:pPr>
    </w:p>
    <w:p w14:paraId="4F521E77">
      <w:pPr>
        <w:pStyle w:val="130"/>
        <w:framePr w:w="9639" w:h="6974" w:hRule="exact" w:wrap="around" w:vAnchor="page" w:hAnchor="page" w:x="1419" w:y="6408" w:anchorLock="1"/>
        <w:textAlignment w:val="bottom"/>
        <w:rPr>
          <w:rFonts w:eastAsia="黑体"/>
          <w:szCs w:val="28"/>
        </w:rPr>
      </w:pPr>
      <w:r>
        <w:rPr>
          <w:rFonts w:hint="eastAsia" w:eastAsia="黑体"/>
          <w:szCs w:val="28"/>
        </w:rPr>
        <w:t xml:space="preserve">Technical </w:t>
      </w:r>
      <w:r>
        <w:rPr>
          <w:rFonts w:hint="eastAsia" w:eastAsia="黑体"/>
          <w:szCs w:val="28"/>
          <w:lang w:val="en-US" w:eastAsia="zh-CN"/>
        </w:rPr>
        <w:t>s</w:t>
      </w:r>
      <w:r>
        <w:rPr>
          <w:rFonts w:hint="eastAsia" w:eastAsia="黑体"/>
          <w:szCs w:val="28"/>
        </w:rPr>
        <w:t xml:space="preserve">pecification for </w:t>
      </w:r>
      <w:r>
        <w:rPr>
          <w:rFonts w:hint="eastAsia" w:eastAsia="黑体"/>
          <w:szCs w:val="28"/>
          <w:lang w:val="en-US" w:eastAsia="zh-CN"/>
        </w:rPr>
        <w:t>i</w:t>
      </w:r>
      <w:r>
        <w:rPr>
          <w:rFonts w:hint="eastAsia" w:eastAsia="黑体"/>
          <w:szCs w:val="28"/>
        </w:rPr>
        <w:t xml:space="preserve">ntelligent </w:t>
      </w:r>
      <w:r>
        <w:rPr>
          <w:rFonts w:hint="eastAsia" w:eastAsia="黑体"/>
          <w:szCs w:val="28"/>
          <w:lang w:val="en-US" w:eastAsia="zh-CN"/>
        </w:rPr>
        <w:t>d</w:t>
      </w:r>
      <w:r>
        <w:rPr>
          <w:rFonts w:hint="eastAsia" w:eastAsia="黑体"/>
          <w:szCs w:val="28"/>
        </w:rPr>
        <w:t xml:space="preserve">igital </w:t>
      </w:r>
      <w:r>
        <w:rPr>
          <w:rFonts w:hint="eastAsia" w:eastAsia="黑体"/>
          <w:szCs w:val="28"/>
          <w:lang w:val="en-US" w:eastAsia="zh-CN"/>
        </w:rPr>
        <w:t>i</w:t>
      </w:r>
      <w:r>
        <w:rPr>
          <w:rFonts w:hint="eastAsia" w:eastAsia="黑体"/>
          <w:szCs w:val="28"/>
        </w:rPr>
        <w:t xml:space="preserve">ntegration in </w:t>
      </w:r>
      <w:r>
        <w:rPr>
          <w:rFonts w:hint="eastAsia" w:eastAsia="黑体"/>
          <w:szCs w:val="28"/>
          <w:lang w:val="en-US" w:eastAsia="zh-CN"/>
        </w:rPr>
        <w:t>h</w:t>
      </w:r>
      <w:r>
        <w:rPr>
          <w:rFonts w:hint="eastAsia" w:eastAsia="黑体"/>
          <w:szCs w:val="28"/>
        </w:rPr>
        <w:t xml:space="preserve">ydraulic </w:t>
      </w:r>
      <w:r>
        <w:rPr>
          <w:rFonts w:hint="eastAsia" w:eastAsia="黑体"/>
          <w:szCs w:val="28"/>
          <w:lang w:val="en-US" w:eastAsia="zh-CN"/>
        </w:rPr>
        <w:t>e</w:t>
      </w:r>
      <w:r>
        <w:rPr>
          <w:rFonts w:hint="eastAsia" w:eastAsia="黑体"/>
          <w:szCs w:val="28"/>
        </w:rPr>
        <w:t xml:space="preserve">ngineering </w:t>
      </w:r>
      <w:r>
        <w:rPr>
          <w:rFonts w:hint="eastAsia" w:eastAsia="黑体"/>
          <w:szCs w:val="28"/>
          <w:lang w:val="en-US" w:eastAsia="zh-CN"/>
        </w:rPr>
        <w:t>c</w:t>
      </w:r>
      <w:r>
        <w:rPr>
          <w:rFonts w:hint="eastAsia" w:eastAsia="黑体"/>
          <w:szCs w:val="28"/>
        </w:rPr>
        <w:t>onstruction</w:t>
      </w:r>
    </w:p>
    <w:p w14:paraId="4D901D7C">
      <w:pPr>
        <w:framePr w:w="9639" w:h="6974" w:hRule="exact" w:wrap="around" w:vAnchor="page" w:hAnchor="page" w:x="1419" w:y="6408" w:anchorLock="1"/>
        <w:spacing w:line="760" w:lineRule="exact"/>
        <w:ind w:left="-1418"/>
      </w:pPr>
    </w:p>
    <w:p w14:paraId="1EEE7E17">
      <w:pPr>
        <w:pStyle w:val="130"/>
        <w:framePr w:w="9639" w:h="6974" w:hRule="exact" w:wrap="around" w:vAnchor="page" w:hAnchor="page" w:x="1419" w:y="6408" w:anchorLock="1"/>
        <w:textAlignment w:val="bottom"/>
        <w:rPr>
          <w:rFonts w:eastAsia="黑体"/>
          <w:szCs w:val="28"/>
        </w:rPr>
      </w:pPr>
    </w:p>
    <w:p w14:paraId="6248C2B5">
      <w:pPr>
        <w:pStyle w:val="130"/>
        <w:framePr w:w="9639" w:h="6974" w:hRule="exact" w:wrap="around" w:vAnchor="page" w:hAnchor="page" w:x="1419" w:y="6408" w:anchorLock="1"/>
        <w:spacing w:before="440" w:after="160"/>
        <w:textAlignment w:val="bottom"/>
        <w:rPr>
          <w:sz w:val="24"/>
          <w:szCs w:val="28"/>
        </w:rPr>
      </w:pPr>
      <w:r>
        <w:rPr>
          <w:rFonts w:hint="eastAsia"/>
          <w:sz w:val="24"/>
          <w:szCs w:val="28"/>
        </w:rPr>
        <w:t>征求意见稿</w:t>
      </w:r>
    </w:p>
    <w:p w14:paraId="7696EF11">
      <w:pPr>
        <w:pStyle w:val="130"/>
        <w:framePr w:w="9639" w:h="6974" w:hRule="exact" w:wrap="around" w:vAnchor="page" w:hAnchor="page" w:x="1419" w:y="6408" w:anchorLock="1"/>
        <w:spacing w:before="180" w:line="240" w:lineRule="atLeast"/>
        <w:textAlignment w:val="bottom"/>
        <w:rPr>
          <w:sz w:val="21"/>
          <w:szCs w:val="28"/>
        </w:rPr>
      </w:pPr>
      <w:bookmarkStart w:id="8" w:name="CMPLSH_DATE"/>
      <w:r>
        <w:rPr>
          <w:rFonts w:hint="eastAsia" w:ascii="Times New Roman" w:hAnsi="Times New Roman" w:eastAsia="宋体" w:cs="Times New Roman"/>
          <w:sz w:val="21"/>
          <w:szCs w:val="28"/>
          <w:lang w:val="en-US" w:eastAsia="zh-CN" w:bidi="ar-SA"/>
        </w:rPr>
        <w:fldChar w:fldCharType="begin">
          <w:ffData>
            <w:name w:val="CMPLSH_DATE"/>
            <w:enabled/>
            <w:calcOnExit w:val="0"/>
            <w:textInput>
              <w:default w:val="完成时间：2025.9.11"/>
            </w:textInput>
          </w:ffData>
        </w:fldChar>
      </w:r>
      <w:r>
        <w:rPr>
          <w:rFonts w:hint="eastAsia" w:ascii="Times New Roman" w:hAnsi="Times New Roman" w:eastAsia="宋体" w:cs="Times New Roman"/>
          <w:sz w:val="21"/>
          <w:szCs w:val="28"/>
          <w:lang w:val="en-US" w:eastAsia="zh-CN" w:bidi="ar-SA"/>
        </w:rPr>
        <w:instrText xml:space="preserve">FORMTEXT</w:instrText>
      </w:r>
      <w:r>
        <w:rPr>
          <w:rFonts w:hint="eastAsia" w:ascii="Times New Roman" w:hAnsi="Times New Roman" w:eastAsia="宋体" w:cs="Times New Roman"/>
          <w:sz w:val="21"/>
          <w:szCs w:val="28"/>
          <w:lang w:val="en-US" w:eastAsia="zh-CN" w:bidi="ar-SA"/>
        </w:rPr>
        <w:fldChar w:fldCharType="separate"/>
      </w:r>
      <w:r>
        <w:rPr>
          <w:rFonts w:hint="eastAsia" w:ascii="Times New Roman" w:hAnsi="Times New Roman" w:eastAsia="宋体" w:cs="Times New Roman"/>
          <w:sz w:val="21"/>
          <w:szCs w:val="28"/>
          <w:lang w:val="en-US" w:eastAsia="zh-CN" w:bidi="ar-SA"/>
        </w:rPr>
        <w:t>完成时间：2025.9.11</w:t>
      </w:r>
      <w:r>
        <w:rPr>
          <w:rFonts w:hint="eastAsia" w:ascii="Times New Roman" w:hAnsi="Times New Roman" w:eastAsia="宋体" w:cs="Times New Roman"/>
          <w:sz w:val="21"/>
          <w:szCs w:val="28"/>
          <w:lang w:val="en-US" w:eastAsia="zh-CN" w:bidi="ar-SA"/>
        </w:rPr>
        <w:fldChar w:fldCharType="end"/>
      </w:r>
      <w:bookmarkEnd w:id="8"/>
    </w:p>
    <w:p w14:paraId="18A8A61B">
      <w:pPr>
        <w:pStyle w:val="130"/>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9" w:name="下拉2"/>
      <w:r>
        <w:rPr>
          <w:b/>
          <w:sz w:val="21"/>
          <w:szCs w:val="28"/>
        </w:rPr>
        <w:instrText xml:space="preserve"> FORMDROPDOWN </w:instrText>
      </w:r>
      <w:r>
        <w:rPr>
          <w:b/>
          <w:sz w:val="21"/>
          <w:szCs w:val="28"/>
        </w:rPr>
        <w:fldChar w:fldCharType="separate"/>
      </w:r>
      <w:r>
        <w:rPr>
          <w:b/>
          <w:sz w:val="21"/>
          <w:szCs w:val="28"/>
        </w:rPr>
        <w:fldChar w:fldCharType="end"/>
      </w:r>
      <w:bookmarkEnd w:id="9"/>
    </w:p>
    <w:p w14:paraId="0A2BC174">
      <w:pPr>
        <w:pStyle w:val="198"/>
        <w:framePr w:wrap="around" w:y="14176"/>
      </w:pPr>
      <w:r>
        <w:rPr>
          <w:rFonts w:ascii="黑体"/>
        </w:rPr>
        <w:fldChar w:fldCharType="begin">
          <w:ffData>
            <w:name w:val="PLSH_DATE_Y"/>
            <w:enabled/>
            <w:calcOnExit w:val="0"/>
            <w:textInput>
              <w:default w:val="XXXX"/>
              <w:maxLength w:val="4"/>
            </w:textInput>
          </w:ffData>
        </w:fldChar>
      </w:r>
      <w:bookmarkStart w:id="10"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0"/>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1"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1"/>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2"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2"/>
      <w:r>
        <w:rPr>
          <w:rFonts w:hint="eastAsia"/>
        </w:rPr>
        <w:t>发布</w:t>
      </w:r>
    </w:p>
    <w:p w14:paraId="3BDAED49">
      <w:pPr>
        <w:pStyle w:val="199"/>
        <w:framePr w:wrap="around" w:y="14176"/>
      </w:pPr>
      <w:r>
        <w:rPr>
          <w:rFonts w:ascii="黑体"/>
        </w:rPr>
        <w:fldChar w:fldCharType="begin">
          <w:ffData>
            <w:name w:val="CROT_DATE_Y"/>
            <w:enabled/>
            <w:calcOnExit w:val="0"/>
            <w:textInput>
              <w:default w:val="XXXX"/>
              <w:maxLength w:val="4"/>
            </w:textInput>
          </w:ffData>
        </w:fldChar>
      </w:r>
      <w:bookmarkStart w:id="13"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3"/>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4"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4"/>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5"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5"/>
      <w:r>
        <w:rPr>
          <w:rFonts w:hint="eastAsia"/>
        </w:rPr>
        <w:t>实施</w:t>
      </w:r>
    </w:p>
    <w:p w14:paraId="504F8844">
      <w:pPr>
        <w:pStyle w:val="156"/>
        <w:framePr w:h="584" w:hRule="exact" w:hSpace="181" w:vSpace="181" w:wrap="around" w:y="14800"/>
        <w:rPr>
          <w:rFonts w:hAnsi="黑体"/>
        </w:rPr>
      </w:pPr>
      <w:r>
        <w:rPr>
          <w:rFonts w:hint="eastAsia" w:hAnsi="黑体"/>
          <w:w w:val="100"/>
          <w:sz w:val="28"/>
        </w:rPr>
        <w:fldChar w:fldCharType="begin">
          <w:ffData>
            <w:name w:val="fm"/>
            <w:enabled/>
            <w:calcOnExit w:val="0"/>
            <w:textInput>
              <w:default w:val="中国基本建设优化研究会"/>
            </w:textInput>
          </w:ffData>
        </w:fldChar>
      </w:r>
      <w:bookmarkStart w:id="16" w:name="fm"/>
      <w:r>
        <w:rPr>
          <w:rFonts w:hint="eastAsia" w:hAnsi="黑体"/>
          <w:w w:val="100"/>
          <w:sz w:val="28"/>
        </w:rPr>
        <w:instrText xml:space="preserve"> </w:instrText>
      </w:r>
      <w:r>
        <w:rPr>
          <w:rFonts w:hAnsi="黑体"/>
          <w:w w:val="100"/>
          <w:sz w:val="28"/>
        </w:rPr>
        <w:instrText xml:space="preserve">FORMTEXT</w:instrText>
      </w:r>
      <w:r>
        <w:rPr>
          <w:rFonts w:hint="eastAsia" w:hAnsi="黑体"/>
          <w:w w:val="100"/>
          <w:sz w:val="28"/>
        </w:rPr>
        <w:instrText xml:space="preserve"> </w:instrText>
      </w:r>
      <w:r>
        <w:rPr>
          <w:rFonts w:hint="eastAsia" w:hAnsi="黑体"/>
          <w:w w:val="100"/>
          <w:sz w:val="28"/>
        </w:rPr>
        <w:fldChar w:fldCharType="separate"/>
      </w:r>
      <w:r>
        <w:rPr>
          <w:rFonts w:hint="eastAsia" w:hAnsi="黑体"/>
          <w:w w:val="100"/>
          <w:sz w:val="28"/>
        </w:rPr>
        <w:t>中国基本建设优化研究会</w:t>
      </w:r>
      <w:r>
        <w:rPr>
          <w:rFonts w:hint="eastAsia" w:hAnsi="黑体"/>
          <w:w w:val="100"/>
          <w:sz w:val="28"/>
        </w:rPr>
        <w:fldChar w:fldCharType="end"/>
      </w:r>
      <w:bookmarkEnd w:id="16"/>
      <w:r>
        <w:rPr>
          <w:rFonts w:ascii="Times New Roman"/>
          <w:w w:val="100"/>
          <w:sz w:val="28"/>
        </w:rPr>
        <w:t>  </w:t>
      </w:r>
      <w:r>
        <w:rPr>
          <w:rStyle w:val="234"/>
          <w:rFonts w:hint="eastAsia" w:hAnsi="黑体"/>
          <w:position w:val="0"/>
        </w:rPr>
        <w:t>发</w:t>
      </w:r>
      <w:r>
        <w:rPr>
          <w:rStyle w:val="234"/>
          <w:rFonts w:hint="eastAsia" w:hAnsi="黑体"/>
          <w:spacing w:val="0"/>
          <w:position w:val="0"/>
        </w:rPr>
        <w:t>布</w:t>
      </w:r>
    </w:p>
    <w:p w14:paraId="0AD344C6">
      <w:pPr>
        <w:rPr>
          <w:rFonts w:ascii="宋体" w:hAnsi="宋体"/>
          <w:sz w:val="28"/>
          <w:szCs w:val="28"/>
        </w:rPr>
        <w:sectPr>
          <w:headerReference r:id="rId7" w:type="first"/>
          <w:footerReference r:id="rId9" w:type="first"/>
          <w:headerReference r:id="rId5" w:type="default"/>
          <w:headerReference r:id="rId6" w:type="even"/>
          <w:footerReference r:id="rId8" w:type="even"/>
          <w:type w:val="continuous"/>
          <w:pgSz w:w="11906" w:h="16838"/>
          <w:pgMar w:top="567" w:right="1134" w:bottom="1134"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1312"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1312;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34D67F76">
      <w:pPr>
        <w:adjustRightInd/>
        <w:spacing w:line="240" w:lineRule="auto"/>
        <w:jc w:val="center"/>
        <w:rPr>
          <w:rFonts w:hint="eastAsia" w:ascii="Times New Roman" w:hAnsi="Times New Roman" w:eastAsia="黑体"/>
          <w:sz w:val="32"/>
          <w:szCs w:val="32"/>
        </w:rPr>
      </w:pPr>
      <w:bookmarkStart w:id="17" w:name="BookMark1"/>
      <w:bookmarkStart w:id="18" w:name="_Toc5963"/>
      <w:r>
        <w:rPr>
          <w:rFonts w:hint="eastAsia" w:ascii="Times New Roman" w:hAnsi="Times New Roman" w:eastAsia="黑体"/>
          <w:sz w:val="32"/>
          <w:szCs w:val="32"/>
        </w:rPr>
        <w:t>目</w:t>
      </w:r>
      <w:r>
        <w:rPr>
          <w:rFonts w:ascii="Times New Roman" w:hAnsi="Times New Roman" w:eastAsia="黑体"/>
          <w:sz w:val="32"/>
          <w:szCs w:val="32"/>
        </w:rPr>
        <w:t>  </w:t>
      </w:r>
      <w:r>
        <w:rPr>
          <w:rFonts w:hint="eastAsia" w:ascii="Times New Roman" w:hAnsi="Times New Roman" w:eastAsia="黑体"/>
          <w:sz w:val="32"/>
          <w:szCs w:val="32"/>
        </w:rPr>
        <w:t>次</w:t>
      </w:r>
    </w:p>
    <w:p w14:paraId="238BE21B">
      <w:pPr>
        <w:adjustRightInd/>
        <w:spacing w:line="240" w:lineRule="auto"/>
        <w:rPr>
          <w:rFonts w:hint="eastAsia" w:ascii="Times New Roman" w:hAnsi="Times New Roman"/>
          <w:szCs w:val="24"/>
        </w:rPr>
      </w:pPr>
    </w:p>
    <w:p w14:paraId="2DC11D01">
      <w:pPr>
        <w:pStyle w:val="21"/>
        <w:tabs>
          <w:tab w:val="right" w:leader="dot" w:pos="9354"/>
        </w:tabs>
        <w:rPr>
          <w:rFonts w:hint="default" w:ascii="Times New Roman" w:hAnsi="Times New Roman" w:eastAsia="宋体" w:cs="Times New Roman"/>
        </w:rPr>
      </w:pPr>
      <w:r>
        <w:rPr>
          <w:rFonts w:ascii="Times New Roman" w:hAnsi="Times New Roman"/>
        </w:rPr>
        <w:fldChar w:fldCharType="begin"/>
      </w:r>
      <w:r>
        <w:rPr>
          <w:rFonts w:ascii="Times New Roman" w:hAnsi="Times New Roman"/>
        </w:rPr>
        <w:instrText xml:space="preserve"> TOC \o "1-3" \u </w:instrText>
      </w:r>
      <w:r>
        <w:rPr>
          <w:rFonts w:ascii="Times New Roman" w:hAnsi="Times New Roman"/>
        </w:rPr>
        <w:fldChar w:fldCharType="separate"/>
      </w:r>
      <w:r>
        <w:rPr>
          <w:rFonts w:hint="default" w:ascii="Times New Roman" w:hAnsi="Times New Roman" w:eastAsia="宋体" w:cs="Times New Roman"/>
          <w:b/>
          <w:bCs/>
          <w:spacing w:val="320"/>
        </w:rPr>
        <w:t>前</w:t>
      </w:r>
      <w:r>
        <w:rPr>
          <w:rFonts w:hint="default" w:ascii="Times New Roman" w:hAnsi="Times New Roman" w:eastAsia="宋体" w:cs="Times New Roman"/>
          <w:b/>
          <w:bCs/>
        </w:rPr>
        <w:t>言</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_Toc13601 \h </w:instrText>
      </w:r>
      <w:r>
        <w:rPr>
          <w:rFonts w:hint="default" w:ascii="Times New Roman" w:hAnsi="Times New Roman" w:eastAsia="宋体" w:cs="Times New Roman"/>
        </w:rPr>
        <w:fldChar w:fldCharType="separate"/>
      </w:r>
      <w:r>
        <w:rPr>
          <w:rFonts w:hint="default" w:ascii="Times New Roman" w:hAnsi="Times New Roman" w:eastAsia="宋体" w:cs="Times New Roman"/>
        </w:rPr>
        <w:t>III</w:t>
      </w:r>
      <w:r>
        <w:rPr>
          <w:rFonts w:hint="default" w:ascii="Times New Roman" w:hAnsi="Times New Roman" w:eastAsia="宋体" w:cs="Times New Roman"/>
        </w:rPr>
        <w:fldChar w:fldCharType="end"/>
      </w:r>
    </w:p>
    <w:p w14:paraId="02CDC358">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1 范围</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_Toc31789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p>
    <w:p w14:paraId="443993BB">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2 规范性引用文件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_Toc7344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p>
    <w:p w14:paraId="457AF030">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3 术语</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_Toc12516 \h </w:instrText>
      </w:r>
      <w:r>
        <w:rPr>
          <w:rFonts w:hint="default" w:ascii="Times New Roman" w:hAnsi="Times New Roman" w:eastAsia="宋体" w:cs="Times New Roman"/>
        </w:rPr>
        <w:fldChar w:fldCharType="separate"/>
      </w:r>
      <w:r>
        <w:rPr>
          <w:rFonts w:hint="default" w:ascii="Times New Roman" w:hAnsi="Times New Roman" w:eastAsia="宋体" w:cs="Times New Roman"/>
        </w:rPr>
        <w:t>2</w:t>
      </w:r>
      <w:r>
        <w:rPr>
          <w:rFonts w:hint="default" w:ascii="Times New Roman" w:hAnsi="Times New Roman" w:eastAsia="宋体" w:cs="Times New Roman"/>
        </w:rPr>
        <w:fldChar w:fldCharType="end"/>
      </w:r>
    </w:p>
    <w:p w14:paraId="31A89899">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4 基本规定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_Toc20222 \h </w:instrText>
      </w:r>
      <w:r>
        <w:rPr>
          <w:rFonts w:hint="default" w:ascii="Times New Roman" w:hAnsi="Times New Roman" w:eastAsia="宋体" w:cs="Times New Roman"/>
        </w:rPr>
        <w:fldChar w:fldCharType="separate"/>
      </w:r>
      <w:r>
        <w:rPr>
          <w:rFonts w:hint="default" w:ascii="Times New Roman" w:hAnsi="Times New Roman" w:eastAsia="宋体" w:cs="Times New Roman"/>
        </w:rPr>
        <w:t>2</w:t>
      </w:r>
      <w:r>
        <w:rPr>
          <w:rFonts w:hint="default" w:ascii="Times New Roman" w:hAnsi="Times New Roman" w:eastAsia="宋体" w:cs="Times New Roman"/>
        </w:rPr>
        <w:fldChar w:fldCharType="end"/>
      </w:r>
    </w:p>
    <w:p w14:paraId="2848E246">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5 数据采集与处理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_Toc28864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00AAE7D8">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5.1</w:t>
      </w:r>
      <w:r>
        <w:rPr>
          <w:rFonts w:hint="default" w:ascii="Times New Roman" w:hAnsi="Times New Roman" w:eastAsia="宋体" w:cs="Times New Roman"/>
          <w:bCs w:val="0"/>
          <w:kern w:val="21"/>
        </w:rPr>
        <w:t xml:space="preserve">  数据内容与分类</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_Toc12987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35543412">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5.2</w:t>
      </w:r>
      <w:r>
        <w:rPr>
          <w:rFonts w:hint="default" w:ascii="Times New Roman" w:hAnsi="Times New Roman" w:eastAsia="宋体" w:cs="Times New Roman"/>
          <w:bCs w:val="0"/>
          <w:kern w:val="21"/>
        </w:rPr>
        <w:t xml:space="preserve">  数据采集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_Toc25787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346F2F58">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5.3</w:t>
      </w:r>
      <w:r>
        <w:rPr>
          <w:rFonts w:hint="default" w:ascii="Times New Roman" w:hAnsi="Times New Roman" w:eastAsia="宋体" w:cs="Times New Roman"/>
          <w:bCs w:val="0"/>
          <w:kern w:val="21"/>
        </w:rPr>
        <w:t xml:space="preserve">  数据处理与质量控制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_Toc24023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52053950">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5.4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数据存储与管理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_Toc8283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7BB2F533">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5.</w:t>
      </w:r>
      <w:r>
        <w:rPr>
          <w:rFonts w:hint="default" w:ascii="Times New Roman" w:hAnsi="Times New Roman" w:eastAsia="宋体" w:cs="Times New Roman"/>
          <w:bCs/>
          <w:kern w:val="21"/>
          <w:lang w:val="en-US" w:eastAsia="zh-CN"/>
        </w:rPr>
        <w:t>5</w:t>
      </w:r>
      <w:r>
        <w:rPr>
          <w:rFonts w:hint="default" w:ascii="Times New Roman" w:hAnsi="Times New Roman" w:eastAsia="宋体" w:cs="Times New Roman"/>
          <w:bCs/>
          <w:kern w:val="21"/>
        </w:rPr>
        <w:t xml:space="preserve">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数据</w:t>
      </w:r>
      <w:r>
        <w:rPr>
          <w:rFonts w:hint="default" w:ascii="Times New Roman" w:hAnsi="Times New Roman" w:eastAsia="宋体" w:cs="Times New Roman"/>
          <w:bCs w:val="0"/>
          <w:kern w:val="21"/>
          <w:lang w:val="en-US" w:eastAsia="zh-CN"/>
        </w:rPr>
        <w:t>交换与共享</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_Toc32182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76EADD34">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6 模型构建与要求</w:t>
      </w:r>
      <w:r>
        <w:rPr>
          <w:rFonts w:hint="default" w:ascii="Times New Roman" w:hAnsi="Times New Roman" w:eastAsia="宋体" w:cs="Times New Roman"/>
          <w:bCs w:val="0"/>
          <w:kern w:val="44"/>
          <w:lang w:val="en-US" w:eastAsia="zh-CN"/>
        </w:rPr>
        <w:t>​</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_Toc11171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61176993">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6.1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一般</w:t>
      </w:r>
      <w:r>
        <w:rPr>
          <w:rFonts w:hint="default" w:ascii="Times New Roman" w:hAnsi="Times New Roman" w:eastAsia="宋体" w:cs="Times New Roman"/>
          <w:bCs w:val="0"/>
          <w:kern w:val="21"/>
          <w:lang w:val="en-US" w:eastAsia="zh-CN"/>
        </w:rPr>
        <w:t>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_Toc29133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6022811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模型内容与深化</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_Toc2476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1AAC3590">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模型精细度（LOD）与信息深度（LOI）</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_Toc13416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63A35400">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模型创建与更新</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_Toc2271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741A7A56">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6.5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模型审核与验证</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_Toc19050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64B75D40">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6.6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模型交付与交换</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_Toc21030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054DFADE">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7 施工数字化管理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_Toc31303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04D8FB60">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7.1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一般规定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_Toc5782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2542B8F1">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数字化施工策划与方案管理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_Toc19333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14F5D463">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数字工地管理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_Toc30549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77DCB23C">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进度管理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_Toc7043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p>
    <w:p w14:paraId="5EC84C54">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7.5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成本管理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_Toc25036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p>
    <w:p w14:paraId="03D920DF">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7.6</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质量管理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_Toc14693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p>
    <w:p w14:paraId="3A98478A">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7.</w:t>
      </w:r>
      <w:r>
        <w:rPr>
          <w:rFonts w:hint="default" w:ascii="Times New Roman" w:hAnsi="Times New Roman" w:eastAsia="宋体" w:cs="Times New Roman"/>
          <w:bCs/>
          <w:kern w:val="21"/>
          <w:lang w:val="en-US" w:eastAsia="zh-CN"/>
        </w:rPr>
        <w:t>7</w:t>
      </w:r>
      <w:r>
        <w:rPr>
          <w:rFonts w:hint="default" w:ascii="Times New Roman" w:hAnsi="Times New Roman" w:eastAsia="宋体" w:cs="Times New Roman"/>
          <w:bCs/>
          <w:kern w:val="21"/>
        </w:rPr>
        <w:t xml:space="preserve">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安全管理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_Toc10862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p>
    <w:p w14:paraId="0B8E908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7.</w:t>
      </w:r>
      <w:r>
        <w:rPr>
          <w:rFonts w:hint="default" w:ascii="Times New Roman" w:hAnsi="Times New Roman" w:eastAsia="宋体" w:cs="Times New Roman"/>
          <w:bCs/>
          <w:kern w:val="21"/>
          <w:lang w:val="en-US" w:eastAsia="zh-CN"/>
        </w:rPr>
        <w:t>8</w:t>
      </w:r>
      <w:r>
        <w:rPr>
          <w:rFonts w:hint="default" w:ascii="Times New Roman" w:hAnsi="Times New Roman" w:eastAsia="宋体" w:cs="Times New Roman"/>
          <w:bCs/>
          <w:kern w:val="21"/>
        </w:rPr>
        <w:t xml:space="preserve">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协同办公与文档管理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_Toc19014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p>
    <w:p w14:paraId="73D2A40E">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8 系统集成与协同</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_Toc17041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3A79AEAB">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8.1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一般规定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_Toc41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04E98677">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平台架构与功能</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_Toc2603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0E541440">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数据集成与接口</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_Toc16699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1AD38860">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应用集成与单点登录</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_Toc1144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01A9C911">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8.5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协同工作机制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_Toc2662 \h </w:instrText>
      </w:r>
      <w:r>
        <w:rPr>
          <w:rFonts w:hint="default" w:ascii="Times New Roman" w:hAnsi="Times New Roman" w:eastAsia="宋体" w:cs="Times New Roman"/>
        </w:rPr>
        <w:fldChar w:fldCharType="separate"/>
      </w:r>
      <w:r>
        <w:rPr>
          <w:rFonts w:hint="default" w:ascii="Times New Roman" w:hAnsi="Times New Roman" w:eastAsia="宋体" w:cs="Times New Roman"/>
        </w:rPr>
        <w:t>10</w:t>
      </w:r>
      <w:r>
        <w:rPr>
          <w:rFonts w:hint="default" w:ascii="Times New Roman" w:hAnsi="Times New Roman" w:eastAsia="宋体" w:cs="Times New Roman"/>
        </w:rPr>
        <w:fldChar w:fldCharType="end"/>
      </w:r>
    </w:p>
    <w:p w14:paraId="624F15B9">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8.6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运行与维护管理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_Toc11989 \h </w:instrText>
      </w:r>
      <w:r>
        <w:rPr>
          <w:rFonts w:hint="default" w:ascii="Times New Roman" w:hAnsi="Times New Roman" w:eastAsia="宋体" w:cs="Times New Roman"/>
        </w:rPr>
        <w:fldChar w:fldCharType="separate"/>
      </w:r>
      <w:r>
        <w:rPr>
          <w:rFonts w:hint="default" w:ascii="Times New Roman" w:hAnsi="Times New Roman" w:eastAsia="宋体" w:cs="Times New Roman"/>
        </w:rPr>
        <w:t>10</w:t>
      </w:r>
      <w:r>
        <w:rPr>
          <w:rFonts w:hint="default" w:ascii="Times New Roman" w:hAnsi="Times New Roman" w:eastAsia="宋体" w:cs="Times New Roman"/>
        </w:rPr>
        <w:fldChar w:fldCharType="end"/>
      </w:r>
    </w:p>
    <w:p w14:paraId="146FE53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8.7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信息安全</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_Toc28493 \h </w:instrText>
      </w:r>
      <w:r>
        <w:rPr>
          <w:rFonts w:hint="default" w:ascii="Times New Roman" w:hAnsi="Times New Roman" w:eastAsia="宋体" w:cs="Times New Roman"/>
        </w:rPr>
        <w:fldChar w:fldCharType="separate"/>
      </w:r>
      <w:r>
        <w:rPr>
          <w:rFonts w:hint="default" w:ascii="Times New Roman" w:hAnsi="Times New Roman" w:eastAsia="宋体" w:cs="Times New Roman"/>
        </w:rPr>
        <w:t>10</w:t>
      </w:r>
      <w:r>
        <w:rPr>
          <w:rFonts w:hint="default" w:ascii="Times New Roman" w:hAnsi="Times New Roman" w:eastAsia="宋体" w:cs="Times New Roman"/>
        </w:rPr>
        <w:fldChar w:fldCharType="end"/>
      </w:r>
    </w:p>
    <w:p w14:paraId="75018100">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9 质量与安全控制</w:t>
      </w:r>
      <w:r>
        <w:rPr>
          <w:rFonts w:hint="default" w:ascii="Times New Roman" w:hAnsi="Times New Roman" w:eastAsia="宋体" w:cs="Times New Roman"/>
          <w:bCs w:val="0"/>
          <w:kern w:val="44"/>
          <w:lang w:val="en-US" w:eastAsia="zh-CN"/>
        </w:rPr>
        <w:t>​</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_Toc29515 \h </w:instrText>
      </w:r>
      <w:r>
        <w:rPr>
          <w:rFonts w:hint="default" w:ascii="Times New Roman" w:hAnsi="Times New Roman" w:eastAsia="宋体" w:cs="Times New Roman"/>
        </w:rPr>
        <w:fldChar w:fldCharType="separate"/>
      </w:r>
      <w:r>
        <w:rPr>
          <w:rFonts w:hint="default" w:ascii="Times New Roman" w:hAnsi="Times New Roman" w:eastAsia="宋体" w:cs="Times New Roman"/>
        </w:rPr>
        <w:t>10</w:t>
      </w:r>
      <w:r>
        <w:rPr>
          <w:rFonts w:hint="default" w:ascii="Times New Roman" w:hAnsi="Times New Roman" w:eastAsia="宋体" w:cs="Times New Roman"/>
        </w:rPr>
        <w:fldChar w:fldCharType="end"/>
      </w:r>
    </w:p>
    <w:p w14:paraId="34ACBB20">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9.1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kern w:val="21"/>
        </w:rPr>
        <w:t>一般规定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_Toc27411 \h </w:instrText>
      </w:r>
      <w:r>
        <w:rPr>
          <w:rFonts w:hint="default" w:ascii="Times New Roman" w:hAnsi="Times New Roman" w:eastAsia="宋体" w:cs="Times New Roman"/>
        </w:rPr>
        <w:fldChar w:fldCharType="separate"/>
      </w:r>
      <w:r>
        <w:rPr>
          <w:rFonts w:hint="default" w:ascii="Times New Roman" w:hAnsi="Times New Roman" w:eastAsia="宋体" w:cs="Times New Roman"/>
        </w:rPr>
        <w:t>10</w:t>
      </w:r>
      <w:r>
        <w:rPr>
          <w:rFonts w:hint="default" w:ascii="Times New Roman" w:hAnsi="Times New Roman" w:eastAsia="宋体" w:cs="Times New Roman"/>
        </w:rPr>
        <w:fldChar w:fldCharType="end"/>
      </w:r>
    </w:p>
    <w:p w14:paraId="3283A201">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9.2 </w:t>
      </w:r>
      <w:r>
        <w:rPr>
          <w:rFonts w:hint="default" w:ascii="Times New Roman" w:hAnsi="Times New Roman" w:eastAsia="宋体" w:cs="Times New Roman"/>
          <w:bCs/>
          <w:kern w:val="21"/>
        </w:rPr>
        <w:t>数字化质量控制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_Toc15522 \h </w:instrText>
      </w:r>
      <w:r>
        <w:rPr>
          <w:rFonts w:hint="default" w:ascii="Times New Roman" w:hAnsi="Times New Roman" w:eastAsia="宋体" w:cs="Times New Roman"/>
        </w:rPr>
        <w:fldChar w:fldCharType="separate"/>
      </w:r>
      <w:r>
        <w:rPr>
          <w:rFonts w:hint="default" w:ascii="Times New Roman" w:hAnsi="Times New Roman" w:eastAsia="宋体" w:cs="Times New Roman"/>
        </w:rPr>
        <w:t>10</w:t>
      </w:r>
      <w:r>
        <w:rPr>
          <w:rFonts w:hint="default" w:ascii="Times New Roman" w:hAnsi="Times New Roman" w:eastAsia="宋体" w:cs="Times New Roman"/>
        </w:rPr>
        <w:fldChar w:fldCharType="end"/>
      </w:r>
    </w:p>
    <w:p w14:paraId="2DC0C16A">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9.3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数字化安全控制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_Toc4273 \h </w:instrText>
      </w:r>
      <w:r>
        <w:rPr>
          <w:rFonts w:hint="default" w:ascii="Times New Roman" w:hAnsi="Times New Roman" w:eastAsia="宋体" w:cs="Times New Roman"/>
        </w:rPr>
        <w:fldChar w:fldCharType="separate"/>
      </w:r>
      <w:r>
        <w:rPr>
          <w:rFonts w:hint="default" w:ascii="Times New Roman" w:hAnsi="Times New Roman" w:eastAsia="宋体" w:cs="Times New Roman"/>
        </w:rPr>
        <w:t>11</w:t>
      </w:r>
      <w:r>
        <w:rPr>
          <w:rFonts w:hint="default" w:ascii="Times New Roman" w:hAnsi="Times New Roman" w:eastAsia="宋体" w:cs="Times New Roman"/>
        </w:rPr>
        <w:fldChar w:fldCharType="end"/>
      </w:r>
    </w:p>
    <w:p w14:paraId="4DBE37FA">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9.4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协同与联动</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_Toc8189 \h </w:instrText>
      </w:r>
      <w:r>
        <w:rPr>
          <w:rFonts w:hint="default" w:ascii="Times New Roman" w:hAnsi="Times New Roman" w:eastAsia="宋体" w:cs="Times New Roman"/>
        </w:rPr>
        <w:fldChar w:fldCharType="separate"/>
      </w:r>
      <w:r>
        <w:rPr>
          <w:rFonts w:hint="default" w:ascii="Times New Roman" w:hAnsi="Times New Roman" w:eastAsia="宋体" w:cs="Times New Roman"/>
        </w:rPr>
        <w:t>12</w:t>
      </w:r>
      <w:r>
        <w:rPr>
          <w:rFonts w:hint="default" w:ascii="Times New Roman" w:hAnsi="Times New Roman" w:eastAsia="宋体" w:cs="Times New Roman"/>
        </w:rPr>
        <w:fldChar w:fldCharType="end"/>
      </w:r>
    </w:p>
    <w:p w14:paraId="69DEBEC9">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9.5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档案管理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_Toc24226 \h </w:instrText>
      </w:r>
      <w:r>
        <w:rPr>
          <w:rFonts w:hint="default" w:ascii="Times New Roman" w:hAnsi="Times New Roman" w:eastAsia="宋体" w:cs="Times New Roman"/>
        </w:rPr>
        <w:fldChar w:fldCharType="separate"/>
      </w:r>
      <w:r>
        <w:rPr>
          <w:rFonts w:hint="default" w:ascii="Times New Roman" w:hAnsi="Times New Roman" w:eastAsia="宋体" w:cs="Times New Roman"/>
        </w:rPr>
        <w:t>12</w:t>
      </w:r>
      <w:r>
        <w:rPr>
          <w:rFonts w:hint="default" w:ascii="Times New Roman" w:hAnsi="Times New Roman" w:eastAsia="宋体" w:cs="Times New Roman"/>
        </w:rPr>
        <w:fldChar w:fldCharType="end"/>
      </w:r>
    </w:p>
    <w:p w14:paraId="58624CA2">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10 验收与归档</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_Toc28738 \h </w:instrText>
      </w:r>
      <w:r>
        <w:rPr>
          <w:rFonts w:hint="default" w:ascii="Times New Roman" w:hAnsi="Times New Roman" w:eastAsia="宋体" w:cs="Times New Roman"/>
        </w:rPr>
        <w:fldChar w:fldCharType="separate"/>
      </w:r>
      <w:r>
        <w:rPr>
          <w:rFonts w:hint="default" w:ascii="Times New Roman" w:hAnsi="Times New Roman" w:eastAsia="宋体" w:cs="Times New Roman"/>
        </w:rPr>
        <w:t>12</w:t>
      </w:r>
      <w:r>
        <w:rPr>
          <w:rFonts w:hint="default" w:ascii="Times New Roman" w:hAnsi="Times New Roman" w:eastAsia="宋体" w:cs="Times New Roman"/>
        </w:rPr>
        <w:fldChar w:fldCharType="end"/>
      </w:r>
    </w:p>
    <w:p w14:paraId="3158300D">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10.1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数字成果验收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_Toc22822 \h </w:instrText>
      </w:r>
      <w:r>
        <w:rPr>
          <w:rFonts w:hint="default" w:ascii="Times New Roman" w:hAnsi="Times New Roman" w:eastAsia="宋体" w:cs="Times New Roman"/>
        </w:rPr>
        <w:fldChar w:fldCharType="separate"/>
      </w:r>
      <w:r>
        <w:rPr>
          <w:rFonts w:hint="default" w:ascii="Times New Roman" w:hAnsi="Times New Roman" w:eastAsia="宋体" w:cs="Times New Roman"/>
        </w:rPr>
        <w:t>12</w:t>
      </w:r>
      <w:r>
        <w:rPr>
          <w:rFonts w:hint="default" w:ascii="Times New Roman" w:hAnsi="Times New Roman" w:eastAsia="宋体" w:cs="Times New Roman"/>
        </w:rPr>
        <w:fldChar w:fldCharType="end"/>
      </w:r>
    </w:p>
    <w:p w14:paraId="04C2421E">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10.2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归档</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_Toc29152 \h </w:instrText>
      </w:r>
      <w:r>
        <w:rPr>
          <w:rFonts w:hint="default" w:ascii="Times New Roman" w:hAnsi="Times New Roman" w:eastAsia="宋体" w:cs="Times New Roman"/>
        </w:rPr>
        <w:fldChar w:fldCharType="separate"/>
      </w:r>
      <w:r>
        <w:rPr>
          <w:rFonts w:hint="default" w:ascii="Times New Roman" w:hAnsi="Times New Roman" w:eastAsia="宋体" w:cs="Times New Roman"/>
        </w:rPr>
        <w:t>12</w:t>
      </w:r>
      <w:r>
        <w:rPr>
          <w:rFonts w:hint="default" w:ascii="Times New Roman" w:hAnsi="Times New Roman" w:eastAsia="宋体" w:cs="Times New Roman"/>
        </w:rPr>
        <w:fldChar w:fldCharType="end"/>
      </w:r>
    </w:p>
    <w:p w14:paraId="2958FE4B">
      <w:pPr>
        <w:pStyle w:val="26"/>
        <w:tabs>
          <w:tab w:val="right" w:leader="dot" w:pos="9354"/>
          <w:tab w:val="clear" w:pos="9344"/>
        </w:tabs>
      </w:pPr>
    </w:p>
    <w:p w14:paraId="0E1B9006">
      <w:pPr>
        <w:pStyle w:val="96"/>
        <w:spacing w:after="360"/>
        <w:sectPr>
          <w:headerReference r:id="rId12" w:type="first"/>
          <w:headerReference r:id="rId10" w:type="default"/>
          <w:footerReference r:id="rId13" w:type="default"/>
          <w:headerReference r:id="rId11" w:type="even"/>
          <w:footerReference r:id="rId14" w:type="even"/>
          <w:pgSz w:w="11906" w:h="16838"/>
          <w:pgMar w:top="1928" w:right="1134" w:bottom="1134" w:left="1134" w:header="1418" w:footer="1134" w:gutter="284"/>
          <w:pgNumType w:fmt="upperRoman" w:start="1"/>
          <w:cols w:space="425" w:num="1"/>
          <w:formProt w:val="0"/>
          <w:docGrid w:linePitch="312" w:charSpace="0"/>
        </w:sectPr>
      </w:pPr>
      <w:r>
        <w:rPr>
          <w:rFonts w:ascii="Times New Roman" w:hAnsi="Times New Roman" w:eastAsia="宋体"/>
        </w:rPr>
        <w:fldChar w:fldCharType="end"/>
      </w:r>
    </w:p>
    <w:bookmarkEnd w:id="17"/>
    <w:p w14:paraId="79B04A67">
      <w:pPr>
        <w:pStyle w:val="94"/>
        <w:spacing w:before="900" w:after="360"/>
      </w:pPr>
      <w:bookmarkStart w:id="19" w:name="_Toc13601"/>
      <w:bookmarkStart w:id="20" w:name="_Toc199856993"/>
      <w:bookmarkStart w:id="21" w:name="BookMark2"/>
      <w:r>
        <w:rPr>
          <w:rFonts w:hint="eastAsia"/>
          <w:spacing w:val="320"/>
        </w:rPr>
        <w:t>前</w:t>
      </w:r>
      <w:r>
        <w:rPr>
          <w:rFonts w:hint="eastAsia"/>
        </w:rPr>
        <w:t>言</w:t>
      </w:r>
      <w:bookmarkEnd w:id="18"/>
      <w:bookmarkEnd w:id="19"/>
      <w:bookmarkEnd w:id="20"/>
    </w:p>
    <w:p w14:paraId="6803C868">
      <w:pPr>
        <w:pStyle w:val="61"/>
        <w:ind w:firstLine="420"/>
      </w:pPr>
      <w:r>
        <w:rPr>
          <w:rFonts w:hint="eastAsia"/>
        </w:rPr>
        <w:t>本文件按照GB/T 1.1—2020《标准化工作导则  第1部分：标准化文件的结构和起草规则》的规定起草。</w:t>
      </w:r>
    </w:p>
    <w:p w14:paraId="7977F114">
      <w:pPr>
        <w:pStyle w:val="61"/>
        <w:ind w:firstLine="420"/>
      </w:pPr>
      <w:r>
        <w:rPr>
          <w:rFonts w:hint="eastAsia"/>
        </w:rPr>
        <w:t>请注意本文件的某些内容可能涉及专利，本文件的发布机构不承担识别这些专利的责任。</w:t>
      </w:r>
    </w:p>
    <w:p w14:paraId="6C771983">
      <w:pPr>
        <w:pStyle w:val="61"/>
        <w:ind w:firstLine="420"/>
      </w:pPr>
      <w:r>
        <w:rPr>
          <w:rFonts w:hint="eastAsia"/>
        </w:rPr>
        <w:t>本文件由中国基本建设优化研究会提出并归口。</w:t>
      </w:r>
    </w:p>
    <w:p w14:paraId="12C51EA3">
      <w:pPr>
        <w:pStyle w:val="61"/>
        <w:ind w:firstLine="420"/>
      </w:pPr>
      <w:r>
        <w:rPr>
          <w:rFonts w:hint="eastAsia"/>
        </w:rPr>
        <w:t>本文件起草单位：</w:t>
      </w:r>
    </w:p>
    <w:p w14:paraId="3FA3F0F0">
      <w:pPr>
        <w:pStyle w:val="61"/>
        <w:ind w:firstLine="420"/>
      </w:pPr>
      <w:r>
        <w:rPr>
          <w:rFonts w:hint="eastAsia"/>
        </w:rPr>
        <w:t>本文件主要起草人：</w:t>
      </w:r>
    </w:p>
    <w:p w14:paraId="0C1390A2">
      <w:pPr>
        <w:pStyle w:val="61"/>
        <w:ind w:firstLine="420"/>
      </w:pPr>
    </w:p>
    <w:p w14:paraId="1411D536">
      <w:pPr>
        <w:pStyle w:val="61"/>
        <w:ind w:firstLine="420"/>
        <w:sectPr>
          <w:headerReference r:id="rId17" w:type="first"/>
          <w:headerReference r:id="rId15" w:type="default"/>
          <w:footerReference r:id="rId18" w:type="default"/>
          <w:headerReference r:id="rId16" w:type="even"/>
          <w:footerReference r:id="rId19" w:type="even"/>
          <w:pgSz w:w="11906" w:h="16838"/>
          <w:pgMar w:top="1928" w:right="1134" w:bottom="1134" w:left="1134" w:header="1418" w:footer="1134" w:gutter="284"/>
          <w:pgNumType w:fmt="upperRoman"/>
          <w:cols w:space="425" w:num="1"/>
          <w:formProt w:val="0"/>
          <w:docGrid w:linePitch="312" w:charSpace="0"/>
        </w:sectPr>
      </w:pPr>
    </w:p>
    <w:bookmarkEnd w:id="21"/>
    <w:p w14:paraId="6F191CB9">
      <w:pPr>
        <w:spacing w:line="20" w:lineRule="exact"/>
        <w:jc w:val="center"/>
        <w:rPr>
          <w:rFonts w:ascii="黑体" w:hAnsi="黑体" w:eastAsia="黑体"/>
          <w:sz w:val="32"/>
          <w:szCs w:val="32"/>
        </w:rPr>
      </w:pPr>
      <w:bookmarkStart w:id="22" w:name="BookMark4"/>
    </w:p>
    <w:p w14:paraId="69904142">
      <w:pPr>
        <w:spacing w:line="20" w:lineRule="exact"/>
        <w:jc w:val="center"/>
        <w:rPr>
          <w:rFonts w:ascii="黑体" w:hAnsi="黑体" w:eastAsia="黑体"/>
          <w:sz w:val="32"/>
          <w:szCs w:val="32"/>
        </w:rPr>
      </w:pPr>
    </w:p>
    <w:sdt>
      <w:sdtPr>
        <w:tag w:val="NEW_STAND_NAME"/>
        <w:id w:val="595910757"/>
        <w:lock w:val="sdtLocked"/>
        <w:placeholder>
          <w:docPart w:val="72B77DB749804158B30A2318A9CC564E"/>
        </w:placeholder>
      </w:sdtPr>
      <w:sdtContent>
        <w:p w14:paraId="2264B1D0">
          <w:pPr>
            <w:pStyle w:val="182"/>
          </w:pPr>
          <w:bookmarkStart w:id="23" w:name="NEW_STAND_NAME"/>
          <w:r>
            <w:rPr>
              <w:rFonts w:hint="eastAsia"/>
              <w:lang w:eastAsia="zh-CN"/>
            </w:rPr>
            <w:t>水利工程施工智能数字集成技术规程</w:t>
          </w:r>
        </w:p>
      </w:sdtContent>
    </w:sdt>
    <w:bookmarkEnd w:id="22"/>
    <w:bookmarkEnd w:id="23"/>
    <w:p w14:paraId="0D6772B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24" w:name="_Toc534381560"/>
      <w:bookmarkStart w:id="25" w:name="_Toc31789"/>
      <w:bookmarkStart w:id="26" w:name="_Toc199857045"/>
      <w:bookmarkStart w:id="27" w:name="BookMark8"/>
      <w:r>
        <w:rPr>
          <w:rFonts w:hint="eastAsia" w:ascii="Times New Roman" w:hAnsi="Times New Roman" w:eastAsia="黑体"/>
          <w:b/>
          <w:bCs w:val="0"/>
          <w:kern w:val="44"/>
          <w:lang w:val="en-US" w:eastAsia="zh-CN"/>
        </w:rPr>
        <w:t>范围</w:t>
      </w:r>
      <w:bookmarkEnd w:id="24"/>
      <w:bookmarkEnd w:id="25"/>
    </w:p>
    <w:p w14:paraId="14994844">
      <w:pPr>
        <w:adjustRightInd/>
        <w:spacing w:line="240" w:lineRule="auto"/>
        <w:ind w:firstLine="210" w:firstLineChars="100"/>
        <w:rPr>
          <w:rFonts w:hint="eastAsia" w:ascii="Times New Roman" w:hAnsi="Times New Roman"/>
          <w:szCs w:val="24"/>
        </w:rPr>
      </w:pPr>
      <w:r>
        <w:rPr>
          <w:rFonts w:hint="eastAsia" w:ascii="Times New Roman" w:hAnsi="Times New Roman"/>
          <w:szCs w:val="24"/>
        </w:rPr>
        <w:t>本文件规定了水利工程施工</w:t>
      </w:r>
      <w:r>
        <w:rPr>
          <w:rFonts w:hint="eastAsia"/>
          <w:lang w:eastAsia="zh-CN"/>
        </w:rPr>
        <w:t>智能数字集成技术</w:t>
      </w:r>
      <w:r>
        <w:rPr>
          <w:rFonts w:hint="eastAsia" w:ascii="Times New Roman" w:hAnsi="Times New Roman"/>
          <w:szCs w:val="24"/>
          <w:lang w:val="en-US" w:eastAsia="zh-CN"/>
        </w:rPr>
        <w:t>的</w:t>
      </w:r>
      <w:r>
        <w:rPr>
          <w:rFonts w:hint="eastAsia" w:ascii="Times New Roman" w:hAnsi="Times New Roman"/>
          <w:szCs w:val="24"/>
        </w:rPr>
        <w:t>基本规定</w:t>
      </w:r>
      <w:r>
        <w:rPr>
          <w:rFonts w:hint="eastAsia" w:ascii="Times New Roman" w:hAnsi="Times New Roman"/>
          <w:szCs w:val="24"/>
          <w:lang w:eastAsia="zh-CN"/>
        </w:rPr>
        <w:t>、</w:t>
      </w:r>
      <w:r>
        <w:rPr>
          <w:rFonts w:hint="eastAsia" w:ascii="Times New Roman" w:hAnsi="Times New Roman"/>
          <w:szCs w:val="24"/>
        </w:rPr>
        <w:t>数字采集与处理</w:t>
      </w:r>
      <w:r>
        <w:rPr>
          <w:rFonts w:hint="eastAsia" w:ascii="Times New Roman" w:hAnsi="Times New Roman"/>
          <w:szCs w:val="24"/>
          <w:lang w:eastAsia="zh-CN"/>
        </w:rPr>
        <w:t>、</w:t>
      </w:r>
      <w:r>
        <w:rPr>
          <w:rFonts w:hint="eastAsia" w:ascii="Times New Roman" w:hAnsi="Times New Roman"/>
          <w:szCs w:val="24"/>
        </w:rPr>
        <w:t>模型构建与要求</w:t>
      </w:r>
      <w:r>
        <w:rPr>
          <w:rFonts w:hint="eastAsia" w:ascii="Times New Roman" w:hAnsi="Times New Roman"/>
          <w:szCs w:val="24"/>
          <w:lang w:eastAsia="zh-CN"/>
        </w:rPr>
        <w:t>、</w:t>
      </w:r>
      <w:r>
        <w:rPr>
          <w:rFonts w:hint="eastAsia" w:ascii="Times New Roman" w:hAnsi="Times New Roman"/>
          <w:szCs w:val="24"/>
        </w:rPr>
        <w:t>施工数字化管理</w:t>
      </w:r>
      <w:r>
        <w:rPr>
          <w:rFonts w:hint="eastAsia" w:ascii="Times New Roman" w:hAnsi="Times New Roman"/>
          <w:szCs w:val="24"/>
          <w:lang w:eastAsia="zh-CN"/>
        </w:rPr>
        <w:t>、</w:t>
      </w:r>
      <w:r>
        <w:rPr>
          <w:rFonts w:hint="eastAsia" w:ascii="Times New Roman" w:hAnsi="Times New Roman"/>
          <w:szCs w:val="24"/>
        </w:rPr>
        <w:t>系统集成与系统</w:t>
      </w:r>
      <w:r>
        <w:rPr>
          <w:rFonts w:hint="eastAsia" w:ascii="Times New Roman" w:hAnsi="Times New Roman"/>
          <w:szCs w:val="24"/>
          <w:lang w:eastAsia="zh-CN"/>
        </w:rPr>
        <w:t>、</w:t>
      </w:r>
      <w:r>
        <w:rPr>
          <w:rFonts w:hint="eastAsia" w:ascii="Times New Roman" w:hAnsi="Times New Roman"/>
          <w:szCs w:val="24"/>
        </w:rPr>
        <w:t>质量与安全控制。</w:t>
      </w:r>
    </w:p>
    <w:p w14:paraId="3FC4E26B">
      <w:pPr>
        <w:adjustRightInd/>
        <w:spacing w:line="240" w:lineRule="auto"/>
        <w:ind w:firstLine="210" w:firstLineChars="100"/>
        <w:rPr>
          <w:rFonts w:hint="eastAsia" w:ascii="Times New Roman" w:hAnsi="Times New Roman"/>
          <w:szCs w:val="24"/>
        </w:rPr>
      </w:pPr>
      <w:r>
        <w:rPr>
          <w:rFonts w:hint="eastAsia" w:ascii="Times New Roman" w:hAnsi="Times New Roman"/>
          <w:szCs w:val="24"/>
        </w:rPr>
        <w:t>本文件主要适用于大中型水利枢纽、堤防、泵站、水闸、隧洞、渠道等新建、改建、扩建工程施工项目的</w:t>
      </w:r>
      <w:r>
        <w:rPr>
          <w:rFonts w:hint="eastAsia"/>
          <w:lang w:eastAsia="zh-CN"/>
        </w:rPr>
        <w:t>智能数字集成</w:t>
      </w:r>
      <w:r>
        <w:rPr>
          <w:rFonts w:hint="eastAsia" w:ascii="Times New Roman" w:hAnsi="Times New Roman"/>
          <w:szCs w:val="24"/>
        </w:rPr>
        <w:t>技术应用。其他水利工程项目可参照执行。</w:t>
      </w:r>
    </w:p>
    <w:p w14:paraId="68E18B3B">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28" w:name="_Toc7344"/>
      <w:bookmarkStart w:id="29" w:name="_Toc534381561"/>
      <w:r>
        <w:rPr>
          <w:rFonts w:hint="eastAsia" w:ascii="Times New Roman" w:hAnsi="Times New Roman" w:eastAsia="黑体"/>
          <w:b/>
          <w:bCs w:val="0"/>
          <w:kern w:val="44"/>
          <w:lang w:val="en-US" w:eastAsia="zh-CN"/>
        </w:rPr>
        <w:t>规范性引用文件</w:t>
      </w:r>
      <w:bookmarkEnd w:id="28"/>
      <w:bookmarkEnd w:id="29"/>
    </w:p>
    <w:p w14:paraId="35A3F7D3">
      <w:pPr>
        <w:adjustRightInd/>
        <w:spacing w:line="240" w:lineRule="auto"/>
        <w:ind w:firstLine="420" w:firstLineChars="200"/>
        <w:rPr>
          <w:rFonts w:ascii="Times New Roman" w:hAnsi="Times New Roman"/>
          <w:szCs w:val="24"/>
        </w:rPr>
      </w:pPr>
      <w:r>
        <w:rPr>
          <w:rFonts w:hint="eastAsia" w:ascii="Times New Roman" w:hAnsi="Times New Roman"/>
          <w:szCs w:val="24"/>
        </w:rPr>
        <w:t>下列文件对于本文件的应用是必不可少的。凡是注日期的引用文件，仅所注日期的版本适用于本文件。凡是不注日期的引用文件，其最新版本（包括所有的修改单）适用于本文件。</w:t>
      </w:r>
    </w:p>
    <w:p w14:paraId="2BCEF2C1">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GB/T 7027 信息分类和编码的基本原则与方法</w:t>
      </w:r>
    </w:p>
    <w:p w14:paraId="34D4766F">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GB/T 18894 电子文件归档与电子档案管理规范</w:t>
      </w:r>
    </w:p>
    <w:p w14:paraId="482D1B2A">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GB/T 22239 信息安全技术 网络安全等级保护基本要求</w:t>
      </w:r>
    </w:p>
    <w:p w14:paraId="60F0E492">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GB/T 31866</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物联网标识体系 物品编码Ecode</w:t>
      </w:r>
    </w:p>
    <w:p w14:paraId="42B5229A">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GB/T 45393.1</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信息技术 建筑信息模型（BIM）软件 第1部分：通用要求</w:t>
      </w:r>
    </w:p>
    <w:p w14:paraId="59EE4F88">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GB 50026 工程测量标准</w:t>
      </w:r>
    </w:p>
    <w:p w14:paraId="34D15062">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GB/T 51301 建筑信息模型设计交付标准</w:t>
      </w:r>
    </w:p>
    <w:p w14:paraId="521C04A2">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CH 8016 全球定位系统(GPS)测量型接收机检定规程</w:t>
      </w:r>
    </w:p>
    <w:p w14:paraId="6FB5A4B4">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DG/TJ 08-2307</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水利工程信息模型应用标准</w:t>
      </w:r>
    </w:p>
    <w:p w14:paraId="3BB7E0DF">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JGJ/T 434 建筑工程施工现场监管信息系统技术标准(附条文说明)</w:t>
      </w:r>
    </w:p>
    <w:p w14:paraId="1BD8D1C1">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JJG 100 全站型电子速测仪检定规程</w:t>
      </w:r>
    </w:p>
    <w:p w14:paraId="4E967201">
      <w:pPr>
        <w:adjustRightInd/>
        <w:spacing w:after="120" w:line="240" w:lineRule="auto"/>
        <w:ind w:firstLine="420" w:firstLineChars="200"/>
        <w:rPr>
          <w:rFonts w:hint="eastAsia" w:ascii="Times New Roman" w:hAnsi="Times New Roman" w:eastAsia="宋体"/>
          <w:szCs w:val="24"/>
          <w:highlight w:val="none"/>
          <w:lang w:val="en-US" w:eastAsia="zh-CN"/>
        </w:rPr>
      </w:pPr>
      <w:r>
        <w:rPr>
          <w:rFonts w:hint="eastAsia" w:ascii="Times New Roman" w:hAnsi="Times New Roman"/>
          <w:szCs w:val="24"/>
          <w:highlight w:val="none"/>
        </w:rPr>
        <w:t>NB/T 10508 水电工程信息模型设计交付规范</w:t>
      </w:r>
    </w:p>
    <w:p w14:paraId="26CC308D">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SL/T 52 水利水电工程施工测量规范</w:t>
      </w:r>
    </w:p>
    <w:p w14:paraId="4689566E">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SL/T 223 水利水电建设工程验收规程(附条文说明)</w:t>
      </w:r>
    </w:p>
    <w:p w14:paraId="0B47F8D7">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SL/T 288</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水利工程施工监理规范</w:t>
      </w:r>
    </w:p>
    <w:p w14:paraId="78AF294A">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SL 398 水利水电工程施工通用安全技术规程</w:t>
      </w:r>
    </w:p>
    <w:p w14:paraId="24124C69">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SL 603 大中型水利水电工程移民数据库表结构及标识符</w:t>
      </w:r>
    </w:p>
    <w:p w14:paraId="61E25ABD">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SL/T 721 水利水电工程施工安全管理导则</w:t>
      </w:r>
    </w:p>
    <w:p w14:paraId="1F170B2A">
      <w:pPr>
        <w:adjustRightInd/>
        <w:spacing w:after="120" w:line="24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SL/T 725 水利水电工程安全监测设计规范</w:t>
      </w:r>
    </w:p>
    <w:p w14:paraId="73A05AAE">
      <w:pPr>
        <w:adjustRightInd/>
        <w:spacing w:after="120" w:line="240" w:lineRule="auto"/>
        <w:ind w:firstLine="420" w:firstLineChars="200"/>
        <w:rPr>
          <w:rFonts w:hint="eastAsia" w:ascii="Times New Roman" w:hAnsi="Times New Roman"/>
          <w:szCs w:val="24"/>
        </w:rPr>
      </w:pPr>
      <w:r>
        <w:rPr>
          <w:rFonts w:hint="eastAsia" w:ascii="Times New Roman" w:hAnsi="Times New Roman"/>
          <w:szCs w:val="24"/>
          <w:highlight w:val="none"/>
        </w:rPr>
        <w:t>ISO 16739-1 建筑和设施管理行业数据共享的工业基础类（IFC）  第1部分：数据模式（Industry Foundation Classes (IFC) for data sharing in the construction and facility management industries - Part 1: Data schema）</w:t>
      </w:r>
    </w:p>
    <w:p w14:paraId="761CDEC5">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30" w:name="_Toc534381562"/>
      <w:bookmarkEnd w:id="30"/>
      <w:bookmarkStart w:id="31" w:name="_Toc12516"/>
      <w:r>
        <w:rPr>
          <w:rFonts w:hint="eastAsia" w:ascii="Times New Roman" w:hAnsi="Times New Roman" w:eastAsia="黑体"/>
          <w:b/>
          <w:bCs w:val="0"/>
          <w:kern w:val="44"/>
          <w:lang w:val="en-US" w:eastAsia="zh-CN"/>
        </w:rPr>
        <w:t>术语</w:t>
      </w:r>
      <w:bookmarkEnd w:id="31"/>
    </w:p>
    <w:p w14:paraId="19824FC8">
      <w:pPr>
        <w:adjustRightInd/>
        <w:spacing w:after="120" w:line="360" w:lineRule="auto"/>
        <w:ind w:firstLine="420" w:firstLineChars="200"/>
        <w:rPr>
          <w:rFonts w:ascii="Times New Roman" w:hAnsi="Times New Roman"/>
          <w:b/>
          <w:szCs w:val="24"/>
        </w:rPr>
      </w:pPr>
      <w:r>
        <w:rPr>
          <w:rFonts w:hint="eastAsia" w:ascii="Times New Roman" w:hAnsi="Times New Roman"/>
          <w:szCs w:val="24"/>
          <w:lang w:val="en-US" w:eastAsia="zh-CN"/>
        </w:rPr>
        <w:t>GB/T 45393.1、DG/TJ 08-2307、</w:t>
      </w:r>
      <w:r>
        <w:rPr>
          <w:rFonts w:hint="eastAsia" w:ascii="Times New Roman" w:hAnsi="Times New Roman"/>
          <w:szCs w:val="24"/>
          <w:highlight w:val="none"/>
        </w:rPr>
        <w:t>SL/T 52-2015</w:t>
      </w:r>
      <w:r>
        <w:rPr>
          <w:rFonts w:hint="eastAsia" w:ascii="Times New Roman" w:hAnsi="Times New Roman"/>
          <w:szCs w:val="24"/>
          <w:highlight w:val="none"/>
          <w:lang w:val="en-US" w:eastAsia="zh-CN"/>
        </w:rPr>
        <w:t>和</w:t>
      </w:r>
      <w:r>
        <w:rPr>
          <w:rFonts w:hint="eastAsia" w:ascii="Times New Roman" w:hAnsi="Times New Roman"/>
          <w:szCs w:val="24"/>
          <w:highlight w:val="none"/>
          <w:lang w:eastAsia="zh-CN"/>
        </w:rPr>
        <w:t>SL/T 288</w:t>
      </w:r>
      <w:r>
        <w:rPr>
          <w:rFonts w:hint="eastAsia" w:ascii="Times New Roman" w:hAnsi="Times New Roman"/>
          <w:szCs w:val="24"/>
        </w:rPr>
        <w:t>界定的以及下列术语和定义适用于本文件。</w:t>
      </w:r>
      <w:bookmarkStart w:id="32" w:name="_Toc30657"/>
      <w:bookmarkStart w:id="33" w:name="_Toc3451"/>
    </w:p>
    <w:bookmarkEnd w:id="32"/>
    <w:bookmarkEnd w:id="33"/>
    <w:p w14:paraId="32D22224">
      <w:pPr>
        <w:adjustRightInd/>
        <w:spacing w:line="240" w:lineRule="auto"/>
        <w:rPr>
          <w:rFonts w:hint="eastAsia" w:ascii="Times New Roman" w:hAnsi="Times New Roman" w:eastAsia="宋体"/>
          <w:b/>
          <w:szCs w:val="24"/>
          <w:highlight w:val="none"/>
          <w:lang w:val="en-US" w:eastAsia="zh-CN"/>
        </w:rPr>
      </w:pPr>
      <w:bookmarkStart w:id="34" w:name="_Toc85553243"/>
      <w:bookmarkEnd w:id="34"/>
      <w:bookmarkStart w:id="35" w:name="_Toc6358"/>
      <w:bookmarkStart w:id="36" w:name="_Toc5179"/>
      <w:r>
        <w:rPr>
          <w:rFonts w:hint="eastAsia" w:ascii="Times New Roman" w:hAnsi="Times New Roman"/>
          <w:b/>
          <w:szCs w:val="24"/>
          <w:highlight w:val="none"/>
        </w:rPr>
        <w:t>3.</w:t>
      </w:r>
      <w:r>
        <w:rPr>
          <w:rFonts w:hint="eastAsia" w:ascii="Times New Roman" w:hAnsi="Times New Roman"/>
          <w:b/>
          <w:szCs w:val="24"/>
          <w:highlight w:val="none"/>
          <w:lang w:val="en-US" w:eastAsia="zh-CN"/>
        </w:rPr>
        <w:t>1</w:t>
      </w:r>
    </w:p>
    <w:bookmarkEnd w:id="35"/>
    <w:bookmarkEnd w:id="36"/>
    <w:p w14:paraId="7E537AB5">
      <w:pPr>
        <w:adjustRightInd/>
        <w:spacing w:line="360" w:lineRule="auto"/>
        <w:ind w:firstLine="420" w:firstLineChars="200"/>
        <w:rPr>
          <w:rFonts w:ascii="Times New Roman" w:hAnsi="Times New Roman"/>
          <w:szCs w:val="24"/>
        </w:rPr>
      </w:pPr>
      <w:r>
        <w:rPr>
          <w:rFonts w:hint="eastAsia" w:ascii="Times New Roman" w:hAnsi="Times New Roman"/>
          <w:szCs w:val="24"/>
        </w:rPr>
        <w:t>信息模型 information model​</w:t>
      </w:r>
    </w:p>
    <w:p w14:paraId="7A0CC44C">
      <w:pPr>
        <w:adjustRightInd/>
        <w:spacing w:line="360" w:lineRule="auto"/>
        <w:ind w:firstLine="420" w:firstLineChars="200"/>
        <w:rPr>
          <w:rFonts w:ascii="Times New Roman" w:hAnsi="Times New Roman"/>
          <w:szCs w:val="24"/>
          <w:highlight w:val="green"/>
        </w:rPr>
      </w:pPr>
      <w:r>
        <w:rPr>
          <w:rFonts w:hint="eastAsia" w:ascii="Times New Roman" w:hAnsi="Times New Roman"/>
          <w:szCs w:val="24"/>
        </w:rPr>
        <w:t>面向水利工程对象，包含几何信息、属性信息及业务规则的结构化数据集</w:t>
      </w:r>
      <w:r>
        <w:rPr>
          <w:rFonts w:hint="eastAsia" w:ascii="Times New Roman" w:hAnsi="Times New Roman"/>
          <w:szCs w:val="24"/>
          <w:highlight w:val="none"/>
        </w:rPr>
        <w:t>合。</w:t>
      </w:r>
    </w:p>
    <w:p w14:paraId="02417FF9">
      <w:pPr>
        <w:adjustRightInd/>
        <w:spacing w:line="240" w:lineRule="auto"/>
        <w:rPr>
          <w:rFonts w:hint="eastAsia" w:ascii="Times New Roman" w:hAnsi="Times New Roman" w:eastAsia="宋体"/>
          <w:b/>
          <w:szCs w:val="24"/>
          <w:highlight w:val="none"/>
          <w:lang w:eastAsia="zh-CN"/>
        </w:rPr>
      </w:pPr>
      <w:bookmarkStart w:id="37" w:name="_Toc85553244"/>
      <w:bookmarkEnd w:id="37"/>
      <w:bookmarkStart w:id="38" w:name="_Toc27540"/>
      <w:bookmarkStart w:id="39" w:name="_Toc22665"/>
      <w:r>
        <w:rPr>
          <w:rFonts w:hint="eastAsia" w:ascii="Times New Roman" w:hAnsi="Times New Roman"/>
          <w:b/>
          <w:szCs w:val="24"/>
          <w:highlight w:val="none"/>
        </w:rPr>
        <w:t>3.</w:t>
      </w:r>
      <w:r>
        <w:rPr>
          <w:rFonts w:hint="eastAsia" w:ascii="Times New Roman" w:hAnsi="Times New Roman"/>
          <w:b/>
          <w:szCs w:val="24"/>
          <w:highlight w:val="none"/>
          <w:lang w:val="en-US" w:eastAsia="zh-CN"/>
        </w:rPr>
        <w:t>2</w:t>
      </w:r>
    </w:p>
    <w:bookmarkEnd w:id="38"/>
    <w:bookmarkEnd w:id="39"/>
    <w:p w14:paraId="57BCD107">
      <w:pPr>
        <w:adjustRightInd/>
        <w:spacing w:line="360" w:lineRule="auto"/>
        <w:ind w:firstLine="420" w:firstLineChars="200"/>
        <w:rPr>
          <w:rFonts w:ascii="Times New Roman" w:hAnsi="Times New Roman"/>
          <w:szCs w:val="24"/>
          <w:highlight w:val="none"/>
        </w:rPr>
      </w:pPr>
      <w:r>
        <w:rPr>
          <w:rFonts w:hint="eastAsia" w:ascii="Times New Roman" w:hAnsi="Times New Roman"/>
          <w:szCs w:val="24"/>
          <w:highlight w:val="none"/>
        </w:rPr>
        <w:t>施工信息模型 construction information model</w:t>
      </w:r>
    </w:p>
    <w:p w14:paraId="630E794C">
      <w:pPr>
        <w:adjustRightInd/>
        <w:spacing w:line="36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在施工阶段创建、使用和更新的信息模型。它在设计模型基础上深化，集成施工组织、进度、成本、质量、安全等过程信息，是施工</w:t>
      </w:r>
      <w:r>
        <w:rPr>
          <w:rFonts w:hint="eastAsia"/>
          <w:lang w:eastAsia="zh-CN"/>
        </w:rPr>
        <w:t>智能数字集成技术</w:t>
      </w:r>
      <w:r>
        <w:rPr>
          <w:rFonts w:hint="eastAsia" w:ascii="Times New Roman" w:hAnsi="Times New Roman"/>
          <w:szCs w:val="24"/>
          <w:highlight w:val="none"/>
        </w:rPr>
        <w:t>应用的核心数据载体</w:t>
      </w:r>
      <w:r>
        <w:rPr>
          <w:rFonts w:hint="eastAsia" w:ascii="Times New Roman" w:hAnsi="Times New Roman"/>
          <w:szCs w:val="24"/>
          <w:highlight w:val="none"/>
          <w:lang w:eastAsia="zh-CN"/>
        </w:rPr>
        <w:t>。</w:t>
      </w:r>
    </w:p>
    <w:p w14:paraId="2700E050">
      <w:pPr>
        <w:adjustRightInd/>
        <w:spacing w:line="240" w:lineRule="auto"/>
        <w:rPr>
          <w:rFonts w:hint="eastAsia" w:ascii="Times New Roman" w:hAnsi="Times New Roman" w:eastAsia="宋体"/>
          <w:b/>
          <w:szCs w:val="24"/>
          <w:highlight w:val="none"/>
          <w:lang w:eastAsia="zh-CN"/>
        </w:rPr>
      </w:pPr>
      <w:bookmarkStart w:id="40" w:name="_Toc85553245"/>
      <w:bookmarkEnd w:id="40"/>
      <w:bookmarkStart w:id="41" w:name="_Toc18827"/>
      <w:bookmarkStart w:id="42" w:name="_Toc4076"/>
      <w:r>
        <w:rPr>
          <w:rFonts w:hint="eastAsia" w:ascii="Times New Roman" w:hAnsi="Times New Roman"/>
          <w:b/>
          <w:szCs w:val="24"/>
          <w:highlight w:val="none"/>
        </w:rPr>
        <w:t>3.</w:t>
      </w:r>
      <w:r>
        <w:rPr>
          <w:rFonts w:hint="eastAsia" w:ascii="Times New Roman" w:hAnsi="Times New Roman"/>
          <w:b/>
          <w:szCs w:val="24"/>
          <w:highlight w:val="none"/>
          <w:lang w:val="en-US" w:eastAsia="zh-CN"/>
        </w:rPr>
        <w:t>3</w:t>
      </w:r>
    </w:p>
    <w:bookmarkEnd w:id="41"/>
    <w:bookmarkEnd w:id="42"/>
    <w:p w14:paraId="017DB7ED">
      <w:pPr>
        <w:adjustRightInd/>
        <w:spacing w:line="360" w:lineRule="auto"/>
        <w:ind w:firstLine="420" w:firstLineChars="200"/>
        <w:rPr>
          <w:rFonts w:ascii="Times New Roman" w:hAnsi="Times New Roman"/>
          <w:szCs w:val="24"/>
        </w:rPr>
      </w:pPr>
      <w:r>
        <w:rPr>
          <w:rFonts w:hint="eastAsia" w:ascii="Times New Roman" w:hAnsi="Times New Roman"/>
          <w:szCs w:val="24"/>
        </w:rPr>
        <w:t>数字工地 digital construction site</w:t>
      </w:r>
    </w:p>
    <w:p w14:paraId="6D0CB52F">
      <w:pPr>
        <w:adjustRightInd/>
        <w:spacing w:line="360" w:lineRule="auto"/>
        <w:ind w:firstLine="420" w:firstLineChars="200"/>
        <w:rPr>
          <w:rFonts w:ascii="Times New Roman" w:hAnsi="Times New Roman"/>
          <w:szCs w:val="24"/>
          <w:highlight w:val="none"/>
        </w:rPr>
      </w:pPr>
      <w:r>
        <w:rPr>
          <w:rFonts w:hint="eastAsia" w:ascii="Times New Roman" w:hAnsi="Times New Roman"/>
          <w:szCs w:val="24"/>
        </w:rPr>
        <w:t>利用物联网、移动互联网、定位技术、智能感知设备等，对施工现场的人员、机械、材料、工艺、</w:t>
      </w:r>
      <w:r>
        <w:rPr>
          <w:rFonts w:hint="eastAsia" w:ascii="Times New Roman" w:hAnsi="Times New Roman"/>
          <w:szCs w:val="24"/>
          <w:highlight w:val="none"/>
        </w:rPr>
        <w:t>环境等要素进行全面感知、实时互联、智能处理和协同管理的现代化施工现场形态</w:t>
      </w:r>
      <w:r>
        <w:rPr>
          <w:rFonts w:ascii="Times New Roman" w:hAnsi="Times New Roman"/>
          <w:szCs w:val="24"/>
          <w:highlight w:val="none"/>
        </w:rPr>
        <w:t>。</w:t>
      </w:r>
    </w:p>
    <w:p w14:paraId="4B68638D">
      <w:pPr>
        <w:adjustRightInd/>
        <w:spacing w:line="240" w:lineRule="auto"/>
        <w:rPr>
          <w:rFonts w:hint="eastAsia" w:ascii="Times New Roman" w:hAnsi="Times New Roman" w:eastAsia="宋体"/>
          <w:b/>
          <w:szCs w:val="24"/>
          <w:highlight w:val="none"/>
          <w:lang w:eastAsia="zh-CN"/>
        </w:rPr>
      </w:pPr>
      <w:bookmarkStart w:id="43" w:name="_Toc85553246"/>
      <w:bookmarkEnd w:id="43"/>
      <w:bookmarkStart w:id="44" w:name="_Toc23396"/>
      <w:bookmarkStart w:id="45" w:name="_Toc7210"/>
      <w:r>
        <w:rPr>
          <w:rFonts w:hint="eastAsia" w:ascii="Times New Roman" w:hAnsi="Times New Roman"/>
          <w:b/>
          <w:szCs w:val="24"/>
          <w:highlight w:val="none"/>
        </w:rPr>
        <w:t>3.</w:t>
      </w:r>
      <w:r>
        <w:rPr>
          <w:rFonts w:hint="eastAsia" w:ascii="Times New Roman" w:hAnsi="Times New Roman"/>
          <w:b/>
          <w:szCs w:val="24"/>
          <w:highlight w:val="none"/>
          <w:lang w:val="en-US" w:eastAsia="zh-CN"/>
        </w:rPr>
        <w:t>4</w:t>
      </w:r>
    </w:p>
    <w:p w14:paraId="40501FEC">
      <w:pPr>
        <w:adjustRightInd/>
        <w:spacing w:line="360" w:lineRule="auto"/>
        <w:ind w:firstLine="420" w:firstLineChars="200"/>
        <w:rPr>
          <w:rFonts w:ascii="Times New Roman" w:hAnsi="Times New Roman"/>
          <w:szCs w:val="24"/>
          <w:highlight w:val="none"/>
        </w:rPr>
      </w:pPr>
      <w:r>
        <w:rPr>
          <w:rFonts w:hint="eastAsia" w:ascii="Times New Roman" w:hAnsi="Times New Roman"/>
          <w:szCs w:val="24"/>
          <w:highlight w:val="none"/>
        </w:rPr>
        <w:t>模型精细度 level of detail (LOD)</w:t>
      </w:r>
      <w:bookmarkEnd w:id="44"/>
      <w:bookmarkEnd w:id="45"/>
    </w:p>
    <w:p w14:paraId="6984A830">
      <w:pPr>
        <w:adjustRightInd/>
        <w:spacing w:line="360" w:lineRule="auto"/>
        <w:ind w:firstLine="420" w:firstLineChars="200"/>
        <w:rPr>
          <w:rFonts w:ascii="Times New Roman" w:hAnsi="Times New Roman"/>
          <w:szCs w:val="24"/>
          <w:highlight w:val="none"/>
        </w:rPr>
      </w:pPr>
      <w:r>
        <w:rPr>
          <w:rFonts w:hint="eastAsia" w:ascii="Times New Roman" w:hAnsi="Times New Roman"/>
          <w:szCs w:val="24"/>
          <w:highlight w:val="none"/>
        </w:rPr>
        <w:t>模型构件在其生命周期内所达到的图形细节水平，定义了模型元素的几何精度和外观的详细程度</w:t>
      </w:r>
      <w:r>
        <w:rPr>
          <w:rFonts w:ascii="Times New Roman" w:hAnsi="Times New Roman"/>
          <w:szCs w:val="24"/>
          <w:highlight w:val="none"/>
        </w:rPr>
        <w:t>。</w:t>
      </w:r>
    </w:p>
    <w:p w14:paraId="1281C41E">
      <w:pPr>
        <w:adjustRightInd/>
        <w:spacing w:line="240" w:lineRule="auto"/>
        <w:rPr>
          <w:rFonts w:hint="eastAsia" w:ascii="Times New Roman" w:hAnsi="Times New Roman" w:eastAsia="宋体"/>
          <w:b/>
          <w:szCs w:val="24"/>
          <w:highlight w:val="none"/>
          <w:lang w:eastAsia="zh-CN"/>
        </w:rPr>
      </w:pPr>
      <w:bookmarkStart w:id="46" w:name="_Toc85553247"/>
      <w:bookmarkEnd w:id="46"/>
      <w:bookmarkStart w:id="47" w:name="_Toc22449"/>
      <w:bookmarkStart w:id="48" w:name="_Toc25166"/>
      <w:r>
        <w:rPr>
          <w:rFonts w:hint="eastAsia" w:ascii="Times New Roman" w:hAnsi="Times New Roman"/>
          <w:b/>
          <w:szCs w:val="24"/>
          <w:highlight w:val="none"/>
        </w:rPr>
        <w:t>3.</w:t>
      </w:r>
      <w:r>
        <w:rPr>
          <w:rFonts w:hint="eastAsia" w:ascii="Times New Roman" w:hAnsi="Times New Roman"/>
          <w:b/>
          <w:szCs w:val="24"/>
          <w:highlight w:val="none"/>
          <w:lang w:val="en-US" w:eastAsia="zh-CN"/>
        </w:rPr>
        <w:t>5</w:t>
      </w:r>
    </w:p>
    <w:bookmarkEnd w:id="47"/>
    <w:bookmarkEnd w:id="48"/>
    <w:p w14:paraId="568A2E0D">
      <w:pPr>
        <w:adjustRightInd/>
        <w:spacing w:line="360" w:lineRule="auto"/>
        <w:ind w:firstLine="420" w:firstLineChars="200"/>
        <w:rPr>
          <w:rFonts w:ascii="Times New Roman" w:hAnsi="Times New Roman"/>
          <w:szCs w:val="24"/>
          <w:highlight w:val="none"/>
        </w:rPr>
      </w:pPr>
      <w:bookmarkStart w:id="49" w:name="_Toc85553248"/>
      <w:bookmarkEnd w:id="49"/>
      <w:r>
        <w:rPr>
          <w:rFonts w:hint="eastAsia" w:ascii="Times New Roman" w:hAnsi="Times New Roman"/>
          <w:szCs w:val="24"/>
          <w:highlight w:val="none"/>
        </w:rPr>
        <w:t>信息深度 level of information (LOI)</w:t>
      </w:r>
    </w:p>
    <w:p w14:paraId="75C0CA99">
      <w:pPr>
        <w:adjustRightInd/>
        <w:spacing w:line="360" w:lineRule="auto"/>
        <w:ind w:firstLine="420" w:firstLineChars="200"/>
        <w:rPr>
          <w:rFonts w:ascii="Times New Roman" w:hAnsi="Times New Roman"/>
          <w:szCs w:val="24"/>
          <w:highlight w:val="none"/>
        </w:rPr>
      </w:pPr>
      <w:r>
        <w:rPr>
          <w:rFonts w:hint="eastAsia" w:ascii="Times New Roman" w:hAnsi="Times New Roman"/>
          <w:szCs w:val="24"/>
          <w:highlight w:val="none"/>
        </w:rPr>
        <w:t>模型构件在其生命周期内所承载的非几何属性信息的丰富程度。</w:t>
      </w:r>
    </w:p>
    <w:p w14:paraId="1F63C842">
      <w:pPr>
        <w:adjustRightInd/>
        <w:spacing w:line="240" w:lineRule="auto"/>
        <w:rPr>
          <w:rFonts w:hint="eastAsia" w:ascii="Times New Roman" w:hAnsi="Times New Roman" w:eastAsia="宋体"/>
          <w:b/>
          <w:szCs w:val="24"/>
          <w:highlight w:val="none"/>
          <w:lang w:eastAsia="zh-CN"/>
        </w:rPr>
      </w:pPr>
      <w:bookmarkStart w:id="50" w:name="_Toc85553249"/>
      <w:bookmarkEnd w:id="50"/>
      <w:bookmarkStart w:id="51" w:name="_Toc27633"/>
      <w:bookmarkStart w:id="52" w:name="_Toc2873"/>
      <w:r>
        <w:rPr>
          <w:rFonts w:hint="eastAsia" w:ascii="Times New Roman" w:hAnsi="Times New Roman"/>
          <w:b/>
          <w:szCs w:val="24"/>
          <w:highlight w:val="none"/>
        </w:rPr>
        <w:t>3.</w:t>
      </w:r>
      <w:r>
        <w:rPr>
          <w:rFonts w:hint="eastAsia" w:ascii="Times New Roman" w:hAnsi="Times New Roman"/>
          <w:b/>
          <w:szCs w:val="24"/>
          <w:highlight w:val="none"/>
          <w:lang w:val="en-US" w:eastAsia="zh-CN"/>
        </w:rPr>
        <w:t>6</w:t>
      </w:r>
    </w:p>
    <w:bookmarkEnd w:id="51"/>
    <w:bookmarkEnd w:id="52"/>
    <w:p w14:paraId="6E62B50F">
      <w:pPr>
        <w:adjustRightInd/>
        <w:spacing w:line="36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协同平台 collaborative platform</w:t>
      </w:r>
    </w:p>
    <w:p w14:paraId="4A13EF34">
      <w:pPr>
        <w:adjustRightInd/>
        <w:spacing w:line="36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为实现</w:t>
      </w:r>
      <w:r>
        <w:rPr>
          <w:rFonts w:hint="eastAsia"/>
          <w:lang w:eastAsia="zh-CN"/>
        </w:rPr>
        <w:t>智能数字集成技术</w:t>
      </w:r>
      <w:r>
        <w:rPr>
          <w:rFonts w:hint="eastAsia" w:ascii="Times New Roman" w:hAnsi="Times New Roman"/>
          <w:szCs w:val="24"/>
          <w:highlight w:val="none"/>
        </w:rPr>
        <w:t>而构建的统一数字化工作环境。它为各参建方提供模型集成、数据共享、业务流程协同和决策支持等功能，是项目信息交换与管理的核心枢纽</w:t>
      </w:r>
      <w:r>
        <w:rPr>
          <w:rFonts w:hint="eastAsia" w:ascii="Times New Roman" w:hAnsi="Times New Roman"/>
          <w:szCs w:val="24"/>
          <w:highlight w:val="none"/>
          <w:lang w:eastAsia="zh-CN"/>
        </w:rPr>
        <w:t>。</w:t>
      </w:r>
    </w:p>
    <w:p w14:paraId="3BD5815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53" w:name="_Toc85553250"/>
      <w:bookmarkEnd w:id="53"/>
      <w:bookmarkStart w:id="54" w:name="_Toc20222"/>
      <w:r>
        <w:rPr>
          <w:rFonts w:hint="eastAsia" w:ascii="Times New Roman" w:hAnsi="Times New Roman" w:eastAsia="黑体"/>
          <w:b/>
          <w:bCs w:val="0"/>
          <w:kern w:val="44"/>
          <w:lang w:val="en-US" w:eastAsia="zh-CN"/>
        </w:rPr>
        <w:t>基本规定</w:t>
      </w:r>
      <w:bookmarkEnd w:id="54"/>
    </w:p>
    <w:p w14:paraId="3D4FF7C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4.1</w:t>
      </w:r>
      <w:r>
        <w:rPr>
          <w:rFonts w:hint="eastAsia" w:ascii="Times New Roman" w:hAnsi="Times New Roman"/>
          <w:szCs w:val="24"/>
          <w:lang w:val="en-US" w:eastAsia="zh-CN"/>
        </w:rPr>
        <w:t xml:space="preserve">. </w:t>
      </w:r>
      <w:r>
        <w:rPr>
          <w:rFonts w:hint="eastAsia" w:ascii="Times New Roman" w:hAnsi="Times New Roman"/>
          <w:szCs w:val="24"/>
        </w:rPr>
        <w:t>水利工程项目开展施工</w:t>
      </w:r>
      <w:r>
        <w:rPr>
          <w:rFonts w:hint="eastAsia"/>
          <w:lang w:eastAsia="zh-CN"/>
        </w:rPr>
        <w:t>智能数字集成技术</w:t>
      </w:r>
      <w:r>
        <w:rPr>
          <w:rFonts w:hint="eastAsia" w:ascii="Times New Roman" w:hAnsi="Times New Roman"/>
          <w:szCs w:val="24"/>
        </w:rPr>
        <w:t>应用，应成立由主要参建方共同参与的组织机构，明确各方职责与协同工作流程，制定相应的管理制度和实施细则。</w:t>
      </w:r>
    </w:p>
    <w:p w14:paraId="47E96121">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4.2 </w:t>
      </w:r>
      <w:r>
        <w:rPr>
          <w:rFonts w:hint="eastAsia" w:ascii="Times New Roman" w:hAnsi="Times New Roman"/>
          <w:szCs w:val="24"/>
        </w:rPr>
        <w:t>项目应构建统一的数字协同平台（以下简称“平台”），作为项目全过程数字信息共享、业务协同和决策支持的核心载体。平台应确保技术先进、运行稳定、安全可靠。</w:t>
      </w:r>
    </w:p>
    <w:p w14:paraId="3EA6BAED">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4.3 </w:t>
      </w:r>
      <w:r>
        <w:rPr>
          <w:rFonts w:hint="eastAsia" w:ascii="Times New Roman" w:hAnsi="Times New Roman"/>
          <w:szCs w:val="24"/>
        </w:rPr>
        <w:t>应基于统一的基准和数据标准，创建、使用和管理施工信息模型。模型应作为施工过程中信息传递与集成的主要载体，其创建、更新和审核应建立规范的流程。</w:t>
      </w:r>
    </w:p>
    <w:p w14:paraId="6580DC73">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4.4 </w:t>
      </w:r>
      <w:r>
        <w:rPr>
          <w:rFonts w:hint="eastAsia" w:ascii="Times New Roman" w:hAnsi="Times New Roman"/>
          <w:szCs w:val="24"/>
        </w:rPr>
        <w:t>施工</w:t>
      </w:r>
      <w:r>
        <w:rPr>
          <w:rFonts w:hint="eastAsia"/>
          <w:lang w:eastAsia="zh-CN"/>
        </w:rPr>
        <w:t>智能数字集成技术</w:t>
      </w:r>
      <w:r>
        <w:rPr>
          <w:rFonts w:hint="eastAsia" w:ascii="Times New Roman" w:hAnsi="Times New Roman"/>
          <w:szCs w:val="24"/>
        </w:rPr>
        <w:t>用应覆盖施工准备、施工实施、竣工验收等全过程，并宜向前延伸至设计交底，向后延伸至运维移交，实现数据的有效传递与继承。</w:t>
      </w:r>
    </w:p>
    <w:p w14:paraId="218B44FD">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4.5 </w:t>
      </w:r>
      <w:r>
        <w:rPr>
          <w:rFonts w:hint="eastAsia" w:ascii="Times New Roman" w:hAnsi="Times New Roman"/>
          <w:szCs w:val="24"/>
        </w:rPr>
        <w:t>应建立统一的数据管理体系，对多源、异构、多维度的数据进行采集、处理、存储、集成与应用。数据应具有唯一性、准确性、完整性和可追溯性。</w:t>
      </w:r>
    </w:p>
    <w:p w14:paraId="43D3915B">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4.6 </w:t>
      </w:r>
      <w:r>
        <w:rPr>
          <w:rFonts w:hint="eastAsia" w:ascii="Times New Roman" w:hAnsi="Times New Roman"/>
          <w:szCs w:val="24"/>
        </w:rPr>
        <w:t>应积极采用物联网、大数据、人工智能、数字孪生等先进信息技术，提升施工过程的感知、分析、控制和决策能力，推动施工管理的智能化升级。</w:t>
      </w:r>
    </w:p>
    <w:p w14:paraId="65C8D5A1">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4.7 </w:t>
      </w:r>
      <w:r>
        <w:rPr>
          <w:rFonts w:hint="eastAsia" w:ascii="Times New Roman" w:hAnsi="Times New Roman"/>
          <w:szCs w:val="24"/>
        </w:rPr>
        <w:t>应建立与</w:t>
      </w:r>
      <w:r>
        <w:rPr>
          <w:rFonts w:hint="eastAsia"/>
          <w:lang w:eastAsia="zh-CN"/>
        </w:rPr>
        <w:t>智能数字集成技术</w:t>
      </w:r>
      <w:r>
        <w:rPr>
          <w:rFonts w:hint="eastAsia" w:ascii="Times New Roman" w:hAnsi="Times New Roman"/>
          <w:szCs w:val="24"/>
        </w:rPr>
        <w:t>相匹配的质量管理与安全管理体系，将数字化手段深度融入质量验收、危险源辨识、风险预警与管控等具体业务流程中。</w:t>
      </w:r>
    </w:p>
    <w:p w14:paraId="08B41382">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4.8 应</w:t>
      </w:r>
      <w:r>
        <w:rPr>
          <w:rFonts w:hint="eastAsia" w:ascii="Times New Roman" w:hAnsi="Times New Roman"/>
          <w:szCs w:val="24"/>
        </w:rPr>
        <w:t>高度重视信息安全与知识产权保护。应建立网络安全防护体系，制定数据分级分类管理制度，其安全保护等级及要求应符合GB/T 22239的规定。</w:t>
      </w:r>
    </w:p>
    <w:p w14:paraId="24398454">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4.9 </w:t>
      </w:r>
      <w:r>
        <w:rPr>
          <w:rFonts w:hint="eastAsia" w:ascii="Times New Roman" w:hAnsi="Times New Roman"/>
          <w:szCs w:val="24"/>
        </w:rPr>
        <w:t>各参建方应确保其提供的数字化成果符合本标准及项目约定的要求。数字成果的验收应与实体工程验收同步进行，并作为工程竣工资料的重要组成部分一并归档。</w:t>
      </w:r>
    </w:p>
    <w:p w14:paraId="73667FC6">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4.10 </w:t>
      </w:r>
      <w:r>
        <w:rPr>
          <w:rFonts w:hint="eastAsia" w:ascii="Times New Roman" w:hAnsi="Times New Roman"/>
          <w:szCs w:val="24"/>
        </w:rPr>
        <w:t>施工</w:t>
      </w:r>
      <w:r>
        <w:rPr>
          <w:rFonts w:hint="eastAsia"/>
          <w:lang w:eastAsia="zh-CN"/>
        </w:rPr>
        <w:t>智能数字集成技术</w:t>
      </w:r>
      <w:r>
        <w:rPr>
          <w:rFonts w:hint="eastAsia" w:ascii="Times New Roman" w:hAnsi="Times New Roman"/>
          <w:szCs w:val="24"/>
        </w:rPr>
        <w:t>应遵循绿色建造理念，通过优化施工方案、精细化管理资源消耗、减少返工与浪费，实现节能、节材、节水、节地和环境保护的目标。</w:t>
      </w:r>
    </w:p>
    <w:p w14:paraId="69B8FD71">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default" w:ascii="Times New Roman" w:hAnsi="Times New Roman" w:eastAsia="黑体"/>
          <w:b/>
          <w:bCs w:val="0"/>
          <w:kern w:val="44"/>
          <w:lang w:val="en-US" w:eastAsia="zh-CN"/>
        </w:rPr>
      </w:pPr>
      <w:bookmarkStart w:id="55" w:name="_Toc28864"/>
      <w:r>
        <w:rPr>
          <w:rFonts w:hint="eastAsia" w:ascii="Times New Roman" w:hAnsi="Times New Roman" w:eastAsia="黑体"/>
          <w:b/>
          <w:bCs w:val="0"/>
          <w:kern w:val="44"/>
          <w:lang w:val="en-US" w:eastAsia="zh-CN"/>
        </w:rPr>
        <w:t>数据采集与处理</w:t>
      </w:r>
      <w:bookmarkEnd w:id="55"/>
    </w:p>
    <w:p w14:paraId="2A3DD015">
      <w:pPr>
        <w:keepNext/>
        <w:keepLines/>
        <w:tabs>
          <w:tab w:val="left" w:pos="420"/>
          <w:tab w:val="left" w:pos="540"/>
        </w:tabs>
        <w:adjustRightInd/>
        <w:spacing w:before="156" w:beforeLines="50" w:after="156" w:afterLines="50" w:line="240" w:lineRule="auto"/>
        <w:outlineLvl w:val="1"/>
        <w:rPr>
          <w:rFonts w:ascii="Times New Roman" w:hAnsi="Times New Roman" w:eastAsia="黑体" w:cs="黑体"/>
          <w:b w:val="0"/>
          <w:bCs w:val="0"/>
          <w:kern w:val="21"/>
        </w:rPr>
      </w:pPr>
      <w:bookmarkStart w:id="56" w:name="_Toc16670"/>
      <w:bookmarkStart w:id="57" w:name="_Toc12987"/>
      <w:r>
        <w:rPr>
          <w:rFonts w:hint="eastAsia" w:ascii="Times New Roman" w:hAnsi="Times New Roman" w:eastAsia="黑体" w:cs="黑体"/>
          <w:b/>
          <w:bCs/>
          <w:kern w:val="21"/>
        </w:rPr>
        <w:t>5.1</w:t>
      </w:r>
      <w:r>
        <w:rPr>
          <w:rFonts w:ascii="Times New Roman" w:hAnsi="Times New Roman" w:eastAsia="黑体" w:cs="黑体"/>
          <w:b w:val="0"/>
          <w:bCs w:val="0"/>
          <w:kern w:val="21"/>
        </w:rPr>
        <w:t xml:space="preserve">  </w:t>
      </w:r>
      <w:bookmarkEnd w:id="56"/>
      <w:r>
        <w:rPr>
          <w:rFonts w:hint="eastAsia" w:ascii="Times New Roman" w:hAnsi="Times New Roman" w:eastAsia="黑体" w:cs="黑体"/>
          <w:b w:val="0"/>
          <w:bCs w:val="0"/>
          <w:kern w:val="21"/>
        </w:rPr>
        <w:t>数据内容与分类</w:t>
      </w:r>
      <w:bookmarkEnd w:id="57"/>
    </w:p>
    <w:p w14:paraId="3DBAA3D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5.1.1</w:t>
      </w:r>
      <w:r>
        <w:rPr>
          <w:rFonts w:hint="eastAsia" w:ascii="Times New Roman" w:hAnsi="Times New Roman"/>
          <w:szCs w:val="24"/>
          <w:lang w:val="en-US" w:eastAsia="zh-CN"/>
        </w:rPr>
        <w:t xml:space="preserve"> </w:t>
      </w:r>
      <w:r>
        <w:rPr>
          <w:rFonts w:hint="eastAsia" w:ascii="Times New Roman" w:hAnsi="Times New Roman"/>
          <w:szCs w:val="24"/>
        </w:rPr>
        <w:t>施工</w:t>
      </w:r>
      <w:r>
        <w:rPr>
          <w:rFonts w:hint="eastAsia"/>
          <w:lang w:eastAsia="zh-CN"/>
        </w:rPr>
        <w:t>智能数字集成技术</w:t>
      </w:r>
      <w:r>
        <w:rPr>
          <w:rFonts w:hint="eastAsia" w:ascii="Times New Roman" w:hAnsi="Times New Roman"/>
          <w:szCs w:val="24"/>
        </w:rPr>
        <w:t>所需数据应按其来源、性质和用途进行分类管理。主要数据类别应包括：</w:t>
      </w:r>
    </w:p>
    <w:p w14:paraId="472F0E6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a) 环境基础数据：地形地貌、地质勘察、水文气象、地下管线及周边环境等数据；</w:t>
      </w:r>
    </w:p>
    <w:p w14:paraId="5E0D5AE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b) 工程设计数据：勘察设计阶段产生的图纸、说明书、计算书、设计模型等；</w:t>
      </w:r>
    </w:p>
    <w:p w14:paraId="44753B3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施工过程数据：在施工过程中产生的进度、质量、安全、成本、人员、机械、材料、施工记录、检测监测、验收等动态数据；</w:t>
      </w:r>
    </w:p>
    <w:p w14:paraId="4116838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资源管理数据：劳动力、机械设备、材料物资、分包商等资源的配置、状态及消耗数据；</w:t>
      </w:r>
    </w:p>
    <w:p w14:paraId="00FD646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e) 管理合规数据：合同文件、会议纪要、变更洽商、行政报批文件等。</w:t>
      </w:r>
    </w:p>
    <w:p w14:paraId="6B7F1B56">
      <w:pPr>
        <w:adjustRightInd/>
        <w:spacing w:line="360" w:lineRule="auto"/>
        <w:ind w:firstLine="420" w:firstLineChars="200"/>
        <w:rPr>
          <w:rFonts w:ascii="Times New Roman" w:hAnsi="Times New Roman"/>
          <w:szCs w:val="24"/>
        </w:rPr>
      </w:pPr>
      <w:r>
        <w:rPr>
          <w:rFonts w:hint="eastAsia" w:ascii="Times New Roman" w:hAnsi="Times New Roman"/>
          <w:szCs w:val="24"/>
        </w:rPr>
        <w:t>5.1.2</w:t>
      </w:r>
      <w:r>
        <w:rPr>
          <w:rFonts w:hint="eastAsia" w:ascii="Times New Roman" w:hAnsi="Times New Roman"/>
          <w:szCs w:val="24"/>
          <w:lang w:val="en-US" w:eastAsia="zh-CN"/>
        </w:rPr>
        <w:t xml:space="preserve"> 所有数据应进行唯一性编码，编码规则应遵循GB/T 7027和SL 603等统一标准，确保数据在全生命周期内可识别、可追溯。物联网设备的标识宜符合GB/T 31866的要求。</w:t>
      </w:r>
    </w:p>
    <w:p w14:paraId="49465D49">
      <w:pPr>
        <w:keepNext/>
        <w:keepLines/>
        <w:tabs>
          <w:tab w:val="left" w:pos="420"/>
          <w:tab w:val="left" w:pos="540"/>
        </w:tabs>
        <w:adjustRightInd/>
        <w:spacing w:before="156" w:beforeLines="50" w:after="156" w:afterLines="50" w:line="240" w:lineRule="auto"/>
        <w:outlineLvl w:val="1"/>
        <w:rPr>
          <w:rFonts w:ascii="Times New Roman" w:hAnsi="Times New Roman" w:eastAsia="黑体" w:cs="黑体"/>
          <w:b w:val="0"/>
          <w:bCs w:val="0"/>
          <w:kern w:val="21"/>
        </w:rPr>
      </w:pPr>
      <w:bookmarkStart w:id="58" w:name="_Toc15688"/>
      <w:bookmarkStart w:id="59" w:name="_Toc25787"/>
      <w:r>
        <w:rPr>
          <w:rFonts w:hint="eastAsia" w:ascii="Times New Roman" w:hAnsi="Times New Roman" w:eastAsia="黑体" w:cs="黑体"/>
          <w:b/>
          <w:bCs/>
          <w:kern w:val="21"/>
        </w:rPr>
        <w:t>5.2</w:t>
      </w:r>
      <w:r>
        <w:rPr>
          <w:rFonts w:ascii="Times New Roman" w:hAnsi="Times New Roman" w:eastAsia="黑体" w:cs="黑体"/>
          <w:b w:val="0"/>
          <w:bCs w:val="0"/>
          <w:kern w:val="21"/>
        </w:rPr>
        <w:t xml:space="preserve">  </w:t>
      </w:r>
      <w:bookmarkEnd w:id="58"/>
      <w:r>
        <w:rPr>
          <w:rFonts w:hint="eastAsia" w:ascii="Times New Roman" w:hAnsi="Times New Roman" w:eastAsia="黑体" w:cs="黑体"/>
          <w:b w:val="0"/>
          <w:bCs w:val="0"/>
          <w:kern w:val="21"/>
        </w:rPr>
        <w:t>数据采集</w:t>
      </w:r>
      <w:bookmarkEnd w:id="59"/>
    </w:p>
    <w:p w14:paraId="112EEF1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5.2.1</w:t>
      </w:r>
      <w:r>
        <w:rPr>
          <w:rFonts w:hint="eastAsia" w:ascii="Times New Roman" w:hAnsi="Times New Roman"/>
          <w:szCs w:val="24"/>
          <w:lang w:val="en-US" w:eastAsia="zh-CN"/>
        </w:rPr>
        <w:t xml:space="preserve"> </w:t>
      </w:r>
      <w:r>
        <w:rPr>
          <w:rFonts w:hint="eastAsia" w:ascii="Times New Roman" w:hAnsi="Times New Roman"/>
          <w:szCs w:val="24"/>
        </w:rPr>
        <w:t>数据采集前应制定详细的采集方案，明确采集内容、精度要求、责任方、采集频率及方法</w:t>
      </w:r>
      <w:r>
        <w:rPr>
          <w:rFonts w:hint="eastAsia" w:ascii="Times New Roman" w:hAnsi="Times New Roman"/>
          <w:szCs w:val="24"/>
          <w:lang w:eastAsia="zh-CN"/>
        </w:rPr>
        <w:t>，采集方案的制定应符合SL/T 52</w:t>
      </w:r>
      <w:r>
        <w:rPr>
          <w:rFonts w:hint="eastAsia" w:ascii="Times New Roman" w:hAnsi="Times New Roman"/>
          <w:szCs w:val="24"/>
          <w:lang w:val="en-US" w:eastAsia="zh-CN"/>
        </w:rPr>
        <w:t>和SL/T 725的规定</w:t>
      </w:r>
      <w:r>
        <w:rPr>
          <w:rFonts w:hint="eastAsia" w:ascii="Times New Roman" w:hAnsi="Times New Roman"/>
          <w:szCs w:val="24"/>
        </w:rPr>
        <w:t>。</w:t>
      </w:r>
    </w:p>
    <w:p w14:paraId="726A720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5.2.2</w:t>
      </w:r>
      <w:r>
        <w:rPr>
          <w:rFonts w:hint="eastAsia" w:ascii="Times New Roman" w:hAnsi="Times New Roman"/>
          <w:szCs w:val="24"/>
          <w:lang w:val="en-US" w:eastAsia="zh-CN"/>
        </w:rPr>
        <w:t xml:space="preserve"> </w:t>
      </w:r>
      <w:r>
        <w:rPr>
          <w:rFonts w:hint="eastAsia" w:ascii="Times New Roman" w:hAnsi="Times New Roman"/>
          <w:szCs w:val="24"/>
        </w:rPr>
        <w:t>数据采集应采用先进、可靠的技术手段，主要包括：</w:t>
      </w:r>
    </w:p>
    <w:p w14:paraId="5DD6625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a) 空间测量技术：卫星定位系统（GNSS）、全站仪、三维激光扫描、无人机摄影测量与遥感等</w:t>
      </w:r>
      <w:r>
        <w:rPr>
          <w:rFonts w:hint="eastAsia" w:ascii="Times New Roman" w:hAnsi="Times New Roman"/>
          <w:szCs w:val="24"/>
          <w:lang w:eastAsia="zh-CN"/>
        </w:rPr>
        <w:t>，其操作与精度应符合GB 50026</w:t>
      </w:r>
      <w:r>
        <w:rPr>
          <w:rFonts w:hint="eastAsia" w:ascii="Times New Roman" w:hAnsi="Times New Roman"/>
          <w:szCs w:val="24"/>
          <w:lang w:val="en-US" w:eastAsia="zh-CN"/>
        </w:rPr>
        <w:t>和</w:t>
      </w:r>
      <w:r>
        <w:rPr>
          <w:rFonts w:hint="eastAsia" w:ascii="Times New Roman" w:hAnsi="Times New Roman"/>
          <w:szCs w:val="24"/>
          <w:lang w:eastAsia="zh-CN"/>
        </w:rPr>
        <w:t>SL/T 52的规定</w:t>
      </w:r>
      <w:r>
        <w:rPr>
          <w:rFonts w:hint="eastAsia" w:ascii="Times New Roman" w:hAnsi="Times New Roman"/>
          <w:szCs w:val="24"/>
        </w:rPr>
        <w:t>；</w:t>
      </w:r>
    </w:p>
    <w:p w14:paraId="14E351E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b) 物联网感知技术：各类传感器（如应力、应变、位移、温度、湿度、振动等）、射频识别（RFID）、智能终端、摄像头等</w:t>
      </w:r>
      <w:r>
        <w:rPr>
          <w:rFonts w:hint="eastAsia" w:ascii="Times New Roman" w:hAnsi="Times New Roman"/>
          <w:szCs w:val="24"/>
          <w:lang w:eastAsia="zh-CN"/>
        </w:rPr>
        <w:t>，传感器选型、安装与精度应符合</w:t>
      </w:r>
      <w:r>
        <w:rPr>
          <w:rFonts w:hint="eastAsia" w:ascii="Times New Roman" w:hAnsi="Times New Roman"/>
          <w:szCs w:val="24"/>
          <w:lang w:val="en-US" w:eastAsia="zh-CN"/>
        </w:rPr>
        <w:t>SL/T 725</w:t>
      </w:r>
      <w:r>
        <w:rPr>
          <w:rFonts w:hint="eastAsia" w:ascii="Times New Roman" w:hAnsi="Times New Roman"/>
          <w:szCs w:val="24"/>
          <w:lang w:eastAsia="zh-CN"/>
        </w:rPr>
        <w:t>及相关产品标准的规定</w:t>
      </w:r>
      <w:r>
        <w:rPr>
          <w:rFonts w:hint="eastAsia" w:ascii="Times New Roman" w:hAnsi="Times New Roman"/>
          <w:szCs w:val="24"/>
        </w:rPr>
        <w:t>；</w:t>
      </w:r>
    </w:p>
    <w:p w14:paraId="0A566A2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信息系统录入：通过业务系统（如项目管理、BIM协同平台）人工或接口自动录入。</w:t>
      </w:r>
    </w:p>
    <w:p w14:paraId="61859BA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5.2.3</w:t>
      </w:r>
      <w:r>
        <w:rPr>
          <w:rFonts w:hint="eastAsia" w:ascii="Times New Roman" w:hAnsi="Times New Roman"/>
          <w:szCs w:val="24"/>
          <w:lang w:val="en-US" w:eastAsia="zh-CN"/>
        </w:rPr>
        <w:t xml:space="preserve"> </w:t>
      </w:r>
      <w:r>
        <w:rPr>
          <w:rFonts w:hint="eastAsia" w:ascii="Times New Roman" w:hAnsi="Times New Roman"/>
          <w:szCs w:val="24"/>
        </w:rPr>
        <w:t>采集的数据</w:t>
      </w:r>
      <w:r>
        <w:rPr>
          <w:rFonts w:hint="eastAsia" w:ascii="Times New Roman" w:hAnsi="Times New Roman"/>
          <w:szCs w:val="24"/>
          <w:lang w:val="en-US" w:eastAsia="zh-CN"/>
        </w:rPr>
        <w:t>应</w:t>
      </w:r>
      <w:r>
        <w:rPr>
          <w:rFonts w:hint="eastAsia" w:ascii="Times New Roman" w:hAnsi="Times New Roman"/>
          <w:szCs w:val="24"/>
        </w:rPr>
        <w:t>真实、准确、完整，并记录采集时间、采集人、采集设备及工况等元数据信息。用于计量支付和质量评定的关键数据，其采集设备（如全站仪、GPS接收机）应按</w:t>
      </w:r>
      <w:r>
        <w:rPr>
          <w:rFonts w:hint="eastAsia" w:ascii="Times New Roman" w:hAnsi="Times New Roman"/>
          <w:szCs w:val="24"/>
          <w:lang w:eastAsia="zh-CN"/>
        </w:rPr>
        <w:t>CH 8016、</w:t>
      </w:r>
      <w:r>
        <w:rPr>
          <w:rFonts w:hint="eastAsia" w:ascii="Times New Roman" w:hAnsi="Times New Roman"/>
          <w:szCs w:val="24"/>
        </w:rPr>
        <w:t>JJG 100等相关计量检定规程的规定定期检定校准</w:t>
      </w:r>
      <w:r>
        <w:rPr>
          <w:rFonts w:hint="eastAsia" w:ascii="Times New Roman" w:hAnsi="Times New Roman"/>
          <w:szCs w:val="24"/>
          <w:lang w:eastAsia="zh-CN"/>
        </w:rPr>
        <w:t>，并记录设备状态和工况等元数据信息</w:t>
      </w:r>
      <w:r>
        <w:rPr>
          <w:rFonts w:hint="eastAsia" w:ascii="Times New Roman" w:hAnsi="Times New Roman"/>
          <w:szCs w:val="24"/>
        </w:rPr>
        <w:t>。</w:t>
      </w:r>
    </w:p>
    <w:p w14:paraId="3615357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5.2.4</w:t>
      </w:r>
      <w:r>
        <w:rPr>
          <w:rFonts w:hint="eastAsia" w:ascii="Times New Roman" w:hAnsi="Times New Roman"/>
          <w:szCs w:val="24"/>
          <w:lang w:val="en-US" w:eastAsia="zh-CN"/>
        </w:rPr>
        <w:t xml:space="preserve"> </w:t>
      </w:r>
      <w:r>
        <w:rPr>
          <w:rFonts w:hint="eastAsia" w:ascii="Times New Roman" w:hAnsi="Times New Roman"/>
          <w:szCs w:val="24"/>
        </w:rPr>
        <w:t>数据采集频率应根据数据类型、管理需求及技术可行性综合确定，以满足施工过程实时监控、动态分析和历史追溯的要求。不同类型数据的采集频率宜符合表</w:t>
      </w:r>
      <w:r>
        <w:rPr>
          <w:rFonts w:hint="eastAsia" w:ascii="Times New Roman" w:hAnsi="Times New Roman"/>
          <w:szCs w:val="24"/>
          <w:lang w:val="en-US" w:eastAsia="zh-CN"/>
        </w:rPr>
        <w:t>1</w:t>
      </w:r>
      <w:r>
        <w:rPr>
          <w:rFonts w:hint="eastAsia" w:ascii="Times New Roman" w:hAnsi="Times New Roman"/>
          <w:szCs w:val="24"/>
        </w:rPr>
        <w:t>的规定。</w:t>
      </w:r>
    </w:p>
    <w:p w14:paraId="5A4087E6">
      <w:pPr>
        <w:adjustRightInd/>
        <w:spacing w:line="360" w:lineRule="auto"/>
        <w:jc w:val="center"/>
        <w:rPr>
          <w:rFonts w:hint="eastAsia" w:ascii="Times New Roman" w:hAnsi="Times New Roman"/>
          <w:szCs w:val="24"/>
        </w:rPr>
      </w:pPr>
      <w:r>
        <w:rPr>
          <w:rFonts w:hint="eastAsia" w:ascii="Times New Roman" w:hAnsi="Times New Roman"/>
          <w:szCs w:val="24"/>
        </w:rPr>
        <w:t>表</w:t>
      </w:r>
      <w:r>
        <w:rPr>
          <w:rFonts w:hint="eastAsia" w:ascii="Times New Roman" w:hAnsi="Times New Roman"/>
          <w:szCs w:val="24"/>
          <w:lang w:val="en-US" w:eastAsia="zh-CN"/>
        </w:rPr>
        <w:t>1</w:t>
      </w:r>
      <w:r>
        <w:rPr>
          <w:rFonts w:hint="eastAsia" w:ascii="Times New Roman" w:hAnsi="Times New Roman"/>
          <w:szCs w:val="24"/>
        </w:rPr>
        <w:t xml:space="preserve"> 数据采集频率要求</w:t>
      </w:r>
    </w:p>
    <w:tbl>
      <w:tblPr>
        <w:tblStyle w:val="30"/>
        <w:tblW w:w="464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3"/>
        <w:gridCol w:w="2052"/>
        <w:gridCol w:w="3241"/>
        <w:gridCol w:w="2599"/>
      </w:tblGrid>
      <w:tr w14:paraId="41142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A3B3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数据类别</w:t>
            </w: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FB2D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数据类型</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ECCE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采集频率要求</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5DA9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备注</w:t>
            </w:r>
          </w:p>
        </w:tc>
      </w:tr>
      <w:tr w14:paraId="0BA2B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46B53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环境与监测数据</w:t>
            </w: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79F73">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边坡位移、沉降、应力应变等</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3582F">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实时或准实时（分钟级/小时级）</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9033D">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对重大危险源工程，频率应根据工况和风险等级提高。</w:t>
            </w:r>
          </w:p>
        </w:tc>
      </w:tr>
      <w:tr w14:paraId="0A87B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A5A2F">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74DCA">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深基坑降水、支护结构监测</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DD67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实时或准实时（分钟级/小时级）</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F55B6">
            <w:pPr>
              <w:keepNext w:val="0"/>
              <w:keepLines w:val="0"/>
              <w:pageBreakBefore w:val="0"/>
              <w:widowControl/>
              <w:kinsoku/>
              <w:wordWrap/>
              <w:overflowPunct/>
              <w:topLinePunct w:val="0"/>
              <w:autoSpaceDE/>
              <w:autoSpaceDN/>
              <w:bidi w:val="0"/>
              <w:adjustRightInd w:val="0"/>
              <w:snapToGrid w:val="0"/>
              <w:spacing w:line="240" w:lineRule="auto"/>
              <w:jc w:val="left"/>
              <w:rPr>
                <w:rFonts w:hint="default" w:ascii="Times New Roman" w:hAnsi="Times New Roman" w:eastAsia="Segoe UI" w:cs="Times New Roman"/>
                <w:i w:val="0"/>
                <w:iCs w:val="0"/>
                <w:color w:val="000000"/>
                <w:sz w:val="21"/>
                <w:szCs w:val="21"/>
                <w:u w:val="none"/>
              </w:rPr>
            </w:pPr>
          </w:p>
        </w:tc>
      </w:tr>
      <w:tr w14:paraId="7B63F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9AC64">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92C3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大体积混凝土温度</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9E79A">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升温阶段：1次/1~2小时；降温阶段：1次/4~8小时</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94B72">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可根据温度变化速率调整。</w:t>
            </w:r>
          </w:p>
        </w:tc>
      </w:tr>
      <w:tr w14:paraId="20364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FEDA0">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6BEA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扬尘、噪声、风速等环境监测</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5D4F9">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实时（分钟级）</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427FF">
            <w:pPr>
              <w:keepNext w:val="0"/>
              <w:keepLines w:val="0"/>
              <w:pageBreakBefore w:val="0"/>
              <w:widowControl/>
              <w:kinsoku/>
              <w:wordWrap/>
              <w:overflowPunct/>
              <w:topLinePunct w:val="0"/>
              <w:autoSpaceDE/>
              <w:autoSpaceDN/>
              <w:bidi w:val="0"/>
              <w:adjustRightInd w:val="0"/>
              <w:snapToGrid w:val="0"/>
              <w:spacing w:line="240" w:lineRule="auto"/>
              <w:jc w:val="left"/>
              <w:rPr>
                <w:rFonts w:hint="default" w:ascii="Times New Roman" w:hAnsi="Times New Roman" w:eastAsia="Segoe UI" w:cs="Times New Roman"/>
                <w:i w:val="0"/>
                <w:iCs w:val="0"/>
                <w:color w:val="000000"/>
                <w:sz w:val="21"/>
                <w:szCs w:val="21"/>
                <w:u w:val="none"/>
              </w:rPr>
            </w:pPr>
          </w:p>
        </w:tc>
      </w:tr>
      <w:tr w14:paraId="615F4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CF6BF">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6E77F">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水文、气象数据</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57BC9">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按气象水文部门发布频率或1次/1~6小时</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D8C7E">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暴雨、洪水等极端天气期间应提高频率。</w:t>
            </w:r>
          </w:p>
        </w:tc>
      </w:tr>
      <w:tr w14:paraId="435F2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1ED01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资源管理数据</w:t>
            </w: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0D6F7">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人员进出场、定位</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078A4">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实时（秒级/分钟级）</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A0476">
            <w:pPr>
              <w:keepNext w:val="0"/>
              <w:keepLines w:val="0"/>
              <w:pageBreakBefore w:val="0"/>
              <w:widowControl/>
              <w:kinsoku/>
              <w:wordWrap/>
              <w:overflowPunct/>
              <w:topLinePunct w:val="0"/>
              <w:autoSpaceDE/>
              <w:autoSpaceDN/>
              <w:bidi w:val="0"/>
              <w:adjustRightInd w:val="0"/>
              <w:snapToGrid w:val="0"/>
              <w:spacing w:line="240" w:lineRule="auto"/>
              <w:jc w:val="left"/>
              <w:rPr>
                <w:rFonts w:hint="default" w:ascii="Times New Roman" w:hAnsi="Times New Roman" w:eastAsia="Segoe UI" w:cs="Times New Roman"/>
                <w:i w:val="0"/>
                <w:iCs w:val="0"/>
                <w:color w:val="000000"/>
                <w:sz w:val="21"/>
                <w:szCs w:val="21"/>
                <w:u w:val="none"/>
              </w:rPr>
            </w:pPr>
          </w:p>
        </w:tc>
      </w:tr>
      <w:tr w14:paraId="0F596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649ED">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C2AAF">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主要机械设备运行状态、定位</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9C58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实时（分钟级）</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B5460">
            <w:pPr>
              <w:keepNext w:val="0"/>
              <w:keepLines w:val="0"/>
              <w:pageBreakBefore w:val="0"/>
              <w:widowControl/>
              <w:kinsoku/>
              <w:wordWrap/>
              <w:overflowPunct/>
              <w:topLinePunct w:val="0"/>
              <w:autoSpaceDE/>
              <w:autoSpaceDN/>
              <w:bidi w:val="0"/>
              <w:adjustRightInd w:val="0"/>
              <w:snapToGrid w:val="0"/>
              <w:spacing w:line="240" w:lineRule="auto"/>
              <w:jc w:val="left"/>
              <w:rPr>
                <w:rFonts w:hint="default" w:ascii="Times New Roman" w:hAnsi="Times New Roman" w:eastAsia="Segoe UI" w:cs="Times New Roman"/>
                <w:i w:val="0"/>
                <w:iCs w:val="0"/>
                <w:color w:val="000000"/>
                <w:sz w:val="21"/>
                <w:szCs w:val="21"/>
                <w:u w:val="none"/>
              </w:rPr>
            </w:pPr>
          </w:p>
        </w:tc>
      </w:tr>
      <w:tr w14:paraId="72BEF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BFB79">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AD963">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材料进场验收</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6E8D7">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事件驱动（到货时）</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70BB5">
            <w:pPr>
              <w:keepNext w:val="0"/>
              <w:keepLines w:val="0"/>
              <w:pageBreakBefore w:val="0"/>
              <w:widowControl/>
              <w:kinsoku/>
              <w:wordWrap/>
              <w:overflowPunct/>
              <w:topLinePunct w:val="0"/>
              <w:autoSpaceDE/>
              <w:autoSpaceDN/>
              <w:bidi w:val="0"/>
              <w:adjustRightInd w:val="0"/>
              <w:snapToGrid w:val="0"/>
              <w:spacing w:line="240" w:lineRule="auto"/>
              <w:jc w:val="left"/>
              <w:rPr>
                <w:rFonts w:hint="default" w:ascii="Times New Roman" w:hAnsi="Times New Roman" w:eastAsia="Segoe UI" w:cs="Times New Roman"/>
                <w:i w:val="0"/>
                <w:iCs w:val="0"/>
                <w:color w:val="000000"/>
                <w:sz w:val="21"/>
                <w:szCs w:val="21"/>
                <w:u w:val="none"/>
              </w:rPr>
            </w:pPr>
          </w:p>
        </w:tc>
      </w:tr>
      <w:tr w14:paraId="66E31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6180F">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304CB">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材料库存</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D4C0A">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定期（1次/日或周）或动态更新（随领用变化）</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9B83A">
            <w:pPr>
              <w:keepNext w:val="0"/>
              <w:keepLines w:val="0"/>
              <w:pageBreakBefore w:val="0"/>
              <w:widowControl/>
              <w:kinsoku/>
              <w:wordWrap/>
              <w:overflowPunct/>
              <w:topLinePunct w:val="0"/>
              <w:autoSpaceDE/>
              <w:autoSpaceDN/>
              <w:bidi w:val="0"/>
              <w:adjustRightInd w:val="0"/>
              <w:snapToGrid w:val="0"/>
              <w:spacing w:line="240" w:lineRule="auto"/>
              <w:jc w:val="left"/>
              <w:rPr>
                <w:rFonts w:hint="default" w:ascii="Times New Roman" w:hAnsi="Times New Roman" w:eastAsia="Segoe UI" w:cs="Times New Roman"/>
                <w:i w:val="0"/>
                <w:iCs w:val="0"/>
                <w:color w:val="000000"/>
                <w:sz w:val="21"/>
                <w:szCs w:val="21"/>
                <w:u w:val="none"/>
              </w:rPr>
            </w:pPr>
          </w:p>
        </w:tc>
      </w:tr>
      <w:tr w14:paraId="30020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8A6E5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施工过程管理数据</w:t>
            </w: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EF85A">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施工进度形象（单元工程完成）</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8907B">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事件驱动（完成后及时填报）或定期（1次/日）</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E19CD">
            <w:pPr>
              <w:keepNext w:val="0"/>
              <w:keepLines w:val="0"/>
              <w:pageBreakBefore w:val="0"/>
              <w:widowControl/>
              <w:kinsoku/>
              <w:wordWrap/>
              <w:overflowPunct/>
              <w:topLinePunct w:val="0"/>
              <w:autoSpaceDE/>
              <w:autoSpaceDN/>
              <w:bidi w:val="0"/>
              <w:adjustRightInd w:val="0"/>
              <w:snapToGrid w:val="0"/>
              <w:spacing w:line="240" w:lineRule="auto"/>
              <w:jc w:val="left"/>
              <w:rPr>
                <w:rFonts w:hint="default" w:ascii="Times New Roman" w:hAnsi="Times New Roman" w:eastAsia="Segoe UI" w:cs="Times New Roman"/>
                <w:i w:val="0"/>
                <w:iCs w:val="0"/>
                <w:color w:val="000000"/>
                <w:sz w:val="21"/>
                <w:szCs w:val="21"/>
                <w:u w:val="none"/>
              </w:rPr>
            </w:pPr>
          </w:p>
        </w:tc>
      </w:tr>
      <w:tr w14:paraId="52917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E27E0">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3AA9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质量检验批验收</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0F292">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事件驱动（验收时）</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897C8">
            <w:pPr>
              <w:keepNext w:val="0"/>
              <w:keepLines w:val="0"/>
              <w:pageBreakBefore w:val="0"/>
              <w:widowControl/>
              <w:kinsoku/>
              <w:wordWrap/>
              <w:overflowPunct/>
              <w:topLinePunct w:val="0"/>
              <w:autoSpaceDE/>
              <w:autoSpaceDN/>
              <w:bidi w:val="0"/>
              <w:adjustRightInd w:val="0"/>
              <w:snapToGrid w:val="0"/>
              <w:spacing w:line="240" w:lineRule="auto"/>
              <w:jc w:val="left"/>
              <w:rPr>
                <w:rFonts w:hint="default" w:ascii="Times New Roman" w:hAnsi="Times New Roman" w:eastAsia="Segoe UI" w:cs="Times New Roman"/>
                <w:i w:val="0"/>
                <w:iCs w:val="0"/>
                <w:color w:val="000000"/>
                <w:sz w:val="21"/>
                <w:szCs w:val="21"/>
                <w:u w:val="none"/>
              </w:rPr>
            </w:pPr>
          </w:p>
        </w:tc>
      </w:tr>
      <w:tr w14:paraId="7F007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DC80B">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DDC53">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安全隐患巡检</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249F5">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定期（1次/班或日） + 事件驱动（发现隐患时）</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6B212">
            <w:pPr>
              <w:keepNext w:val="0"/>
              <w:keepLines w:val="0"/>
              <w:pageBreakBefore w:val="0"/>
              <w:widowControl/>
              <w:kinsoku/>
              <w:wordWrap/>
              <w:overflowPunct/>
              <w:topLinePunct w:val="0"/>
              <w:autoSpaceDE/>
              <w:autoSpaceDN/>
              <w:bidi w:val="0"/>
              <w:adjustRightInd w:val="0"/>
              <w:snapToGrid w:val="0"/>
              <w:spacing w:line="240" w:lineRule="auto"/>
              <w:jc w:val="left"/>
              <w:rPr>
                <w:rFonts w:hint="default" w:ascii="Times New Roman" w:hAnsi="Times New Roman" w:eastAsia="Segoe UI" w:cs="Times New Roman"/>
                <w:i w:val="0"/>
                <w:iCs w:val="0"/>
                <w:color w:val="000000"/>
                <w:sz w:val="21"/>
                <w:szCs w:val="21"/>
                <w:u w:val="none"/>
              </w:rPr>
            </w:pPr>
          </w:p>
        </w:tc>
      </w:tr>
      <w:tr w14:paraId="2D677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90801">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E7318">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视频监控图像</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0660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实时连续采集</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A7B57">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智能分析报警为事件驱动。</w:t>
            </w:r>
          </w:p>
        </w:tc>
      </w:tr>
      <w:tr w14:paraId="4BBDA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A94B7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空间测量数据</w:t>
            </w: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66C65">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施工控制网复核</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05D9F">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定期（1次/月或季）或按规范要求</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129DA">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受到扰动或怀疑变动时应立即复测。</w:t>
            </w:r>
          </w:p>
        </w:tc>
      </w:tr>
      <w:tr w14:paraId="687F2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82A06">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2C1B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关键部位施工放样</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A174C">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事件驱动（施工前）</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FE935">
            <w:pPr>
              <w:keepNext w:val="0"/>
              <w:keepLines w:val="0"/>
              <w:pageBreakBefore w:val="0"/>
              <w:widowControl/>
              <w:kinsoku/>
              <w:wordWrap/>
              <w:overflowPunct/>
              <w:topLinePunct w:val="0"/>
              <w:autoSpaceDE/>
              <w:autoSpaceDN/>
              <w:bidi w:val="0"/>
              <w:adjustRightInd w:val="0"/>
              <w:snapToGrid w:val="0"/>
              <w:spacing w:line="240" w:lineRule="auto"/>
              <w:jc w:val="left"/>
              <w:rPr>
                <w:rFonts w:hint="default" w:ascii="Times New Roman" w:hAnsi="Times New Roman" w:eastAsia="Segoe UI" w:cs="Times New Roman"/>
                <w:i w:val="0"/>
                <w:iCs w:val="0"/>
                <w:color w:val="000000"/>
                <w:sz w:val="21"/>
                <w:szCs w:val="21"/>
                <w:u w:val="none"/>
              </w:rPr>
            </w:pPr>
          </w:p>
        </w:tc>
      </w:tr>
      <w:tr w14:paraId="2C1C6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F5CD2">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79EF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完工形体测量（如开挖断面）</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63E3B">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事件驱动（工序交接或完工时）</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A9D55">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宜采用三维激光扫描等技术。</w:t>
            </w:r>
          </w:p>
        </w:tc>
      </w:tr>
      <w:tr w14:paraId="0C8F0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F5B57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设计与模型数据</w:t>
            </w: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014DF">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设计模型版本</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3DA8D">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事件驱动（收到新版时）</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1FFB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需进行版本管理和变更标识。</w:t>
            </w:r>
          </w:p>
        </w:tc>
      </w:tr>
      <w:tr w14:paraId="766EF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FB53B">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E3262">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施工深化模型版本</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DD52B">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Segoe UI" w:cs="Times New Roman"/>
                <w:i w:val="0"/>
                <w:iCs w:val="0"/>
                <w:color w:val="000000"/>
                <w:sz w:val="21"/>
                <w:szCs w:val="21"/>
                <w:u w:val="none"/>
              </w:rPr>
            </w:pPr>
            <w:r>
              <w:rPr>
                <w:rFonts w:hint="default" w:ascii="Times New Roman" w:hAnsi="Times New Roman" w:eastAsia="Segoe UI" w:cs="Times New Roman"/>
                <w:i w:val="0"/>
                <w:iCs w:val="0"/>
                <w:color w:val="000000"/>
                <w:kern w:val="0"/>
                <w:sz w:val="21"/>
                <w:szCs w:val="21"/>
                <w:u w:val="none"/>
                <w:lang w:val="en-US" w:eastAsia="zh-CN" w:bidi="ar"/>
              </w:rPr>
              <w:t>事件驱动（重大修改后）</w:t>
            </w:r>
          </w:p>
        </w:tc>
        <w:tc>
          <w:tcPr>
            <w:tcW w:w="1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7AA9E">
            <w:pPr>
              <w:keepNext w:val="0"/>
              <w:keepLines w:val="0"/>
              <w:pageBreakBefore w:val="0"/>
              <w:widowControl/>
              <w:kinsoku/>
              <w:wordWrap/>
              <w:overflowPunct/>
              <w:topLinePunct w:val="0"/>
              <w:autoSpaceDE/>
              <w:autoSpaceDN/>
              <w:bidi w:val="0"/>
              <w:adjustRightInd w:val="0"/>
              <w:snapToGrid w:val="0"/>
              <w:spacing w:line="240" w:lineRule="auto"/>
              <w:jc w:val="left"/>
              <w:rPr>
                <w:rFonts w:hint="default" w:ascii="Times New Roman" w:hAnsi="Times New Roman" w:eastAsia="Segoe UI" w:cs="Times New Roman"/>
                <w:i w:val="0"/>
                <w:iCs w:val="0"/>
                <w:color w:val="000000"/>
                <w:sz w:val="21"/>
                <w:szCs w:val="21"/>
                <w:u w:val="none"/>
              </w:rPr>
            </w:pPr>
          </w:p>
        </w:tc>
      </w:tr>
    </w:tbl>
    <w:p w14:paraId="04186951">
      <w:pPr>
        <w:keepNext/>
        <w:keepLines/>
        <w:tabs>
          <w:tab w:val="left" w:pos="420"/>
          <w:tab w:val="left" w:pos="540"/>
        </w:tabs>
        <w:adjustRightInd/>
        <w:spacing w:before="156" w:beforeLines="50" w:after="156" w:afterLines="50" w:line="240" w:lineRule="auto"/>
        <w:outlineLvl w:val="1"/>
        <w:rPr>
          <w:rFonts w:ascii="Times New Roman" w:hAnsi="Times New Roman" w:eastAsia="黑体" w:cs="黑体"/>
          <w:b w:val="0"/>
          <w:bCs w:val="0"/>
          <w:kern w:val="21"/>
        </w:rPr>
      </w:pPr>
      <w:bookmarkStart w:id="60" w:name="_Toc16533"/>
      <w:bookmarkStart w:id="61" w:name="_Toc24023"/>
      <w:r>
        <w:rPr>
          <w:rFonts w:hint="eastAsia" w:ascii="Times New Roman" w:hAnsi="Times New Roman" w:eastAsia="黑体" w:cs="黑体"/>
          <w:b/>
          <w:bCs/>
          <w:kern w:val="21"/>
        </w:rPr>
        <w:t>5.3</w:t>
      </w:r>
      <w:r>
        <w:rPr>
          <w:rFonts w:ascii="Times New Roman" w:hAnsi="Times New Roman" w:eastAsia="黑体" w:cs="黑体"/>
          <w:b w:val="0"/>
          <w:bCs w:val="0"/>
          <w:kern w:val="21"/>
        </w:rPr>
        <w:t xml:space="preserve">  </w:t>
      </w:r>
      <w:bookmarkEnd w:id="60"/>
      <w:r>
        <w:rPr>
          <w:rFonts w:hint="eastAsia" w:ascii="Times New Roman" w:hAnsi="Times New Roman" w:eastAsia="黑体" w:cs="黑体"/>
          <w:b w:val="0"/>
          <w:bCs w:val="0"/>
          <w:kern w:val="21"/>
        </w:rPr>
        <w:t>数据处理与质量控制</w:t>
      </w:r>
      <w:bookmarkEnd w:id="61"/>
    </w:p>
    <w:p w14:paraId="2639EBC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5.3.1</w:t>
      </w:r>
      <w:r>
        <w:rPr>
          <w:rFonts w:hint="eastAsia" w:ascii="Times New Roman" w:hAnsi="Times New Roman"/>
          <w:szCs w:val="24"/>
          <w:lang w:val="en-US" w:eastAsia="zh-CN"/>
        </w:rPr>
        <w:t xml:space="preserve"> </w:t>
      </w:r>
      <w:r>
        <w:rPr>
          <w:rFonts w:hint="eastAsia" w:ascii="Times New Roman" w:hAnsi="Times New Roman"/>
          <w:szCs w:val="24"/>
        </w:rPr>
        <w:t>应对采集的原始数据进行预处理，包括格式转换、坐标统一</w:t>
      </w:r>
      <w:r>
        <w:rPr>
          <w:rFonts w:hint="eastAsia" w:ascii="Times New Roman" w:hAnsi="Times New Roman"/>
          <w:szCs w:val="24"/>
          <w:lang w:eastAsia="zh-CN"/>
        </w:rPr>
        <w:t>（</w:t>
      </w:r>
      <w:r>
        <w:rPr>
          <w:rFonts w:hint="eastAsia" w:ascii="Times New Roman" w:hAnsi="Times New Roman"/>
          <w:szCs w:val="24"/>
          <w:lang w:val="en-US" w:eastAsia="zh-CN"/>
        </w:rPr>
        <w:t>应符合GB 50026及</w:t>
      </w:r>
      <w:r>
        <w:rPr>
          <w:rFonts w:hint="eastAsia" w:ascii="Times New Roman" w:hAnsi="Times New Roman"/>
          <w:szCs w:val="24"/>
          <w:lang w:eastAsia="zh-CN"/>
        </w:rPr>
        <w:t>SL/T 52</w:t>
      </w:r>
      <w:r>
        <w:rPr>
          <w:rFonts w:hint="eastAsia" w:ascii="Times New Roman" w:hAnsi="Times New Roman"/>
          <w:szCs w:val="24"/>
          <w:lang w:val="en-US" w:eastAsia="zh-CN"/>
        </w:rPr>
        <w:t>的规定</w:t>
      </w:r>
      <w:r>
        <w:rPr>
          <w:rFonts w:hint="eastAsia" w:ascii="Times New Roman" w:hAnsi="Times New Roman"/>
          <w:szCs w:val="24"/>
          <w:lang w:eastAsia="zh-CN"/>
        </w:rPr>
        <w:t>）</w:t>
      </w:r>
      <w:r>
        <w:rPr>
          <w:rFonts w:hint="eastAsia" w:ascii="Times New Roman" w:hAnsi="Times New Roman"/>
          <w:szCs w:val="24"/>
        </w:rPr>
        <w:t>、数据清洗、异常值剔除、缺失值处理等。</w:t>
      </w:r>
    </w:p>
    <w:p w14:paraId="767D5B0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5.3.2</w:t>
      </w:r>
      <w:r>
        <w:rPr>
          <w:rFonts w:hint="eastAsia" w:ascii="Times New Roman" w:hAnsi="Times New Roman"/>
          <w:szCs w:val="24"/>
          <w:lang w:val="en-US" w:eastAsia="zh-CN"/>
        </w:rPr>
        <w:t xml:space="preserve"> </w:t>
      </w:r>
      <w:r>
        <w:rPr>
          <w:rFonts w:hint="eastAsia" w:ascii="Times New Roman" w:hAnsi="Times New Roman"/>
          <w:szCs w:val="24"/>
        </w:rPr>
        <w:t>应建立数据校验规则，对数据的逻辑性、合理性和完整性进行自动或人工检查，确保数据质量。对不合格的数据应标识并按程序进行修正或重新采集。</w:t>
      </w:r>
    </w:p>
    <w:p w14:paraId="38DE7A0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5.3.3</w:t>
      </w:r>
      <w:r>
        <w:rPr>
          <w:rFonts w:hint="eastAsia" w:ascii="Times New Roman" w:hAnsi="Times New Roman"/>
          <w:szCs w:val="24"/>
          <w:lang w:val="en-US" w:eastAsia="zh-CN"/>
        </w:rPr>
        <w:t xml:space="preserve"> </w:t>
      </w:r>
      <w:r>
        <w:rPr>
          <w:rFonts w:hint="eastAsia" w:ascii="Times New Roman" w:hAnsi="Times New Roman"/>
          <w:szCs w:val="24"/>
        </w:rPr>
        <w:t>经处理合格的数据应及时存入统一的数据库或数据中台，并进行版本管理。数据处理过程应有记录，保证过程可追溯。</w:t>
      </w:r>
    </w:p>
    <w:p w14:paraId="4B624FA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62" w:name="_Toc8283"/>
      <w:r>
        <w:rPr>
          <w:rFonts w:hint="eastAsia" w:ascii="Times New Roman" w:hAnsi="Times New Roman" w:eastAsia="黑体" w:cs="黑体"/>
          <w:b/>
          <w:bCs/>
          <w:kern w:val="21"/>
        </w:rPr>
        <w:t xml:space="preserve">5.4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数据存储与管理</w:t>
      </w:r>
      <w:bookmarkEnd w:id="62"/>
    </w:p>
    <w:p w14:paraId="063F5C9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5.4.1</w:t>
      </w:r>
      <w:r>
        <w:rPr>
          <w:rFonts w:hint="eastAsia" w:ascii="Times New Roman" w:hAnsi="Times New Roman"/>
          <w:szCs w:val="24"/>
          <w:lang w:val="en-US" w:eastAsia="zh-CN"/>
        </w:rPr>
        <w:t xml:space="preserve"> </w:t>
      </w:r>
      <w:r>
        <w:rPr>
          <w:rFonts w:hint="eastAsia" w:ascii="Times New Roman" w:hAnsi="Times New Roman"/>
          <w:szCs w:val="24"/>
        </w:rPr>
        <w:t>应建立集中统一的数据库或数据仓库，对多源、多维度、多时相的数据进行集成存储。数据库结构设计应科学合理，支持高效查询与分析。</w:t>
      </w:r>
    </w:p>
    <w:p w14:paraId="50DB644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5.4.2</w:t>
      </w:r>
      <w:r>
        <w:rPr>
          <w:rFonts w:hint="eastAsia" w:ascii="Times New Roman" w:hAnsi="Times New Roman"/>
          <w:szCs w:val="24"/>
          <w:lang w:val="en-US" w:eastAsia="zh-CN"/>
        </w:rPr>
        <w:t xml:space="preserve"> </w:t>
      </w:r>
      <w:r>
        <w:rPr>
          <w:rFonts w:hint="eastAsia" w:ascii="Times New Roman" w:hAnsi="Times New Roman"/>
          <w:szCs w:val="24"/>
        </w:rPr>
        <w:t>应制定数据存储备份与恢复策略，定期对重要数据进行备份，确保数据安全。</w:t>
      </w:r>
    </w:p>
    <w:p w14:paraId="3A728F0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5.4.3</w:t>
      </w:r>
      <w:r>
        <w:rPr>
          <w:rFonts w:hint="eastAsia" w:ascii="Times New Roman" w:hAnsi="Times New Roman"/>
          <w:szCs w:val="24"/>
          <w:lang w:val="en-US" w:eastAsia="zh-CN"/>
        </w:rPr>
        <w:t xml:space="preserve"> </w:t>
      </w:r>
      <w:r>
        <w:rPr>
          <w:rFonts w:hint="eastAsia" w:ascii="Times New Roman" w:hAnsi="Times New Roman"/>
          <w:szCs w:val="24"/>
        </w:rPr>
        <w:t>应建立数据资产目录，对数据资源进行分类、编目和元数据管理，便于数据的发现、理解和使用。</w:t>
      </w:r>
    </w:p>
    <w:p w14:paraId="2F19A7F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5.4.4</w:t>
      </w:r>
      <w:r>
        <w:rPr>
          <w:rFonts w:hint="eastAsia" w:ascii="Times New Roman" w:hAnsi="Times New Roman"/>
          <w:szCs w:val="24"/>
          <w:lang w:val="en-US" w:eastAsia="zh-CN"/>
        </w:rPr>
        <w:t xml:space="preserve"> </w:t>
      </w:r>
      <w:r>
        <w:rPr>
          <w:rFonts w:hint="eastAsia" w:ascii="Times New Roman" w:hAnsi="Times New Roman"/>
          <w:szCs w:val="24"/>
        </w:rPr>
        <w:t>应依据数据安全等级和隐私要求，制定差异化的数据访问、使用权限控制和加密策略。</w:t>
      </w:r>
    </w:p>
    <w:p w14:paraId="03F1C58B">
      <w:pPr>
        <w:keepNext/>
        <w:keepLines/>
        <w:tabs>
          <w:tab w:val="left" w:pos="420"/>
          <w:tab w:val="left" w:pos="540"/>
        </w:tabs>
        <w:adjustRightInd/>
        <w:spacing w:before="156" w:beforeLines="50" w:after="156" w:afterLines="50" w:line="240" w:lineRule="auto"/>
        <w:outlineLvl w:val="1"/>
        <w:rPr>
          <w:rFonts w:hint="default" w:ascii="Times New Roman" w:hAnsi="Times New Roman" w:eastAsia="黑体" w:cs="黑体"/>
          <w:b w:val="0"/>
          <w:bCs w:val="0"/>
          <w:kern w:val="21"/>
          <w:lang w:val="en-US" w:eastAsia="zh-CN"/>
        </w:rPr>
      </w:pPr>
      <w:bookmarkStart w:id="63" w:name="_Toc32182"/>
      <w:r>
        <w:rPr>
          <w:rFonts w:hint="eastAsia" w:ascii="Times New Roman" w:hAnsi="Times New Roman" w:eastAsia="黑体" w:cs="黑体"/>
          <w:b/>
          <w:bCs/>
          <w:kern w:val="21"/>
        </w:rPr>
        <w:t>5.</w:t>
      </w:r>
      <w:r>
        <w:rPr>
          <w:rFonts w:hint="eastAsia" w:ascii="Times New Roman" w:hAnsi="Times New Roman" w:eastAsia="黑体" w:cs="黑体"/>
          <w:b/>
          <w:bCs/>
          <w:kern w:val="21"/>
          <w:lang w:val="en-US" w:eastAsia="zh-CN"/>
        </w:rPr>
        <w:t>5</w:t>
      </w:r>
      <w:r>
        <w:rPr>
          <w:rFonts w:hint="eastAsia" w:ascii="Times New Roman" w:hAnsi="Times New Roman" w:eastAsia="黑体" w:cs="黑体"/>
          <w:b/>
          <w:bCs/>
          <w:kern w:val="21"/>
        </w:rPr>
        <w:t xml:space="preserve">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数据</w:t>
      </w:r>
      <w:r>
        <w:rPr>
          <w:rFonts w:hint="eastAsia" w:ascii="Times New Roman" w:hAnsi="Times New Roman" w:eastAsia="黑体" w:cs="黑体"/>
          <w:b w:val="0"/>
          <w:bCs w:val="0"/>
          <w:kern w:val="21"/>
          <w:lang w:val="en-US" w:eastAsia="zh-CN"/>
        </w:rPr>
        <w:t>交换与共享</w:t>
      </w:r>
      <w:bookmarkEnd w:id="63"/>
    </w:p>
    <w:p w14:paraId="309B43A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5.5.1 项目各参建方之间的数据交换与共享应通过统一的协同平台进行，确保数据源的唯一性和一致性。</w:t>
      </w:r>
    </w:p>
    <w:p w14:paraId="22E399A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5.5.2</w:t>
      </w:r>
      <w:r>
        <w:rPr>
          <w:rFonts w:hint="eastAsia" w:ascii="Times New Roman" w:hAnsi="Times New Roman"/>
          <w:szCs w:val="24"/>
          <w:lang w:val="en-US" w:eastAsia="zh-CN"/>
        </w:rPr>
        <w:t xml:space="preserve"> </w:t>
      </w:r>
      <w:r>
        <w:rPr>
          <w:rFonts w:hint="eastAsia" w:ascii="Times New Roman" w:hAnsi="Times New Roman"/>
          <w:szCs w:val="24"/>
        </w:rPr>
        <w:t>数据交换应优先采用国际或国家认可的开放标准格式（如ISO 16739</w:t>
      </w:r>
      <w:r>
        <w:rPr>
          <w:rFonts w:hint="eastAsia" w:ascii="Times New Roman" w:hAnsi="Times New Roman"/>
          <w:szCs w:val="24"/>
          <w:lang w:eastAsia="zh-CN"/>
        </w:rPr>
        <w:t>（</w:t>
      </w:r>
      <w:r>
        <w:rPr>
          <w:rFonts w:hint="eastAsia" w:ascii="Times New Roman" w:hAnsi="Times New Roman"/>
          <w:szCs w:val="24"/>
        </w:rPr>
        <w:t>IFC</w:t>
      </w:r>
      <w:r>
        <w:rPr>
          <w:rFonts w:hint="eastAsia" w:ascii="Times New Roman" w:hAnsi="Times New Roman"/>
          <w:szCs w:val="24"/>
          <w:lang w:eastAsia="zh-CN"/>
        </w:rPr>
        <w:t>）</w:t>
      </w:r>
      <w:r>
        <w:rPr>
          <w:rFonts w:hint="eastAsia" w:ascii="Times New Roman" w:hAnsi="Times New Roman"/>
          <w:szCs w:val="24"/>
        </w:rPr>
        <w:t>、CityGML、XML、JSON等）。平台应提供标准化的应用程序接口（API）以供系统间集成和数据调用。</w:t>
      </w:r>
    </w:p>
    <w:p w14:paraId="23B485F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5.5.3</w:t>
      </w:r>
      <w:r>
        <w:rPr>
          <w:rFonts w:hint="eastAsia" w:ascii="Times New Roman" w:hAnsi="Times New Roman"/>
          <w:szCs w:val="24"/>
          <w:lang w:val="en-US" w:eastAsia="zh-CN"/>
        </w:rPr>
        <w:t xml:space="preserve"> </w:t>
      </w:r>
      <w:r>
        <w:rPr>
          <w:rFonts w:hint="eastAsia" w:ascii="Times New Roman" w:hAnsi="Times New Roman"/>
          <w:szCs w:val="24"/>
        </w:rPr>
        <w:t>数据共享应遵循权限管理规则，在保障信息安全的前提下，促进数据在授权范围内的有效流动和充分利用。</w:t>
      </w:r>
    </w:p>
    <w:p w14:paraId="6112C83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64" w:name="_Toc11171"/>
      <w:r>
        <w:rPr>
          <w:rFonts w:hint="eastAsia" w:ascii="Times New Roman" w:hAnsi="Times New Roman" w:eastAsia="黑体"/>
          <w:b/>
          <w:bCs w:val="0"/>
          <w:kern w:val="44"/>
          <w:lang w:val="en-US" w:eastAsia="zh-CN"/>
        </w:rPr>
        <w:t>模型构建与要求</w:t>
      </w:r>
      <w:bookmarkEnd w:id="64"/>
    </w:p>
    <w:p w14:paraId="549968A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val="en-US" w:eastAsia="zh-CN"/>
        </w:rPr>
      </w:pPr>
      <w:bookmarkStart w:id="65" w:name="_Toc12731"/>
      <w:bookmarkStart w:id="66" w:name="_Toc29133"/>
      <w:r>
        <w:rPr>
          <w:rFonts w:hint="eastAsia" w:ascii="Times New Roman" w:hAnsi="Times New Roman" w:eastAsia="黑体" w:cs="黑体"/>
          <w:b/>
          <w:bCs/>
          <w:kern w:val="21"/>
        </w:rPr>
        <w:t>6.1</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一般</w:t>
      </w:r>
      <w:bookmarkEnd w:id="65"/>
      <w:r>
        <w:rPr>
          <w:rFonts w:hint="eastAsia" w:ascii="Times New Roman" w:hAnsi="Times New Roman" w:eastAsia="黑体" w:cs="黑体"/>
          <w:b w:val="0"/>
          <w:bCs w:val="0"/>
          <w:kern w:val="21"/>
          <w:lang w:val="en-US" w:eastAsia="zh-CN"/>
        </w:rPr>
        <w:t>要求</w:t>
      </w:r>
      <w:bookmarkEnd w:id="66"/>
    </w:p>
    <w:p w14:paraId="3E6EF01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6.1.1 项目应制定统一的模型创建与管理实施细则，明确模型坐标系、计量单位、命名规则、分类编码、颜色体系、精细度（LOD）和信息深度（LOI）等要求</w:t>
      </w:r>
      <w:r>
        <w:rPr>
          <w:rFonts w:hint="eastAsia" w:ascii="Times New Roman" w:hAnsi="Times New Roman"/>
          <w:szCs w:val="24"/>
          <w:lang w:eastAsia="zh-CN"/>
        </w:rPr>
        <w:t>，</w:t>
      </w:r>
      <w:r>
        <w:rPr>
          <w:rFonts w:hint="eastAsia" w:ascii="Times New Roman" w:hAnsi="Times New Roman"/>
          <w:szCs w:val="24"/>
          <w:lang w:val="en-US" w:eastAsia="zh-CN"/>
        </w:rPr>
        <w:t>应符合GB/T 51301（建筑部分）、NB/T 10508（水电部分）的规定</w:t>
      </w:r>
      <w:r>
        <w:rPr>
          <w:rFonts w:hint="eastAsia" w:ascii="Times New Roman" w:hAnsi="Times New Roman"/>
          <w:szCs w:val="24"/>
        </w:rPr>
        <w:t>。</w:t>
      </w:r>
    </w:p>
    <w:p w14:paraId="513D645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6.1.2 施工信息模型应在设计模型基础上，根据施工需求进行深化、细化、验证和扩展，其内容与深度应满足施工准备、实施、验收及移交等各阶段的应用需求。</w:t>
      </w:r>
    </w:p>
    <w:p w14:paraId="594FA79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6.1.3 模型应实现几何信息与非几何信息（属性信息）的有效关联与一体化管理。</w:t>
      </w:r>
    </w:p>
    <w:p w14:paraId="00FBFC8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6.1.4 模型构建宜采用正向设计方法，或保证设计模型到施工模型的有效传递与转换。</w:t>
      </w:r>
    </w:p>
    <w:p w14:paraId="7C2A5044">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val="0"/>
          <w:bCs w:val="0"/>
          <w:kern w:val="21"/>
        </w:rPr>
      </w:pPr>
      <w:bookmarkStart w:id="67" w:name="_Toc2476"/>
      <w:r>
        <w:rPr>
          <w:rFonts w:hint="eastAsia" w:ascii="Times New Roman" w:hAnsi="Times New Roman" w:eastAsia="黑体" w:cs="黑体"/>
          <w:b/>
          <w:bCs/>
          <w:kern w:val="21"/>
        </w:rPr>
        <w:t xml:space="preserve">6.2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模型内容与深化</w:t>
      </w:r>
      <w:bookmarkEnd w:id="67"/>
    </w:p>
    <w:p w14:paraId="05EBE7A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6.2.1 施工信息模型应包含但不限于以下内容：</w:t>
      </w:r>
    </w:p>
    <w:p w14:paraId="70371B8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a) 永久工程模型：根据施工详图深化后的土建、机电、金属结构等所有永久工程实体模型；</w:t>
      </w:r>
    </w:p>
    <w:p w14:paraId="0A96713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b) 临时工程模型：施工导流、围堰、施工道路、加工厂、临时支护、大型施工设备基础等临时设施与措施模型；</w:t>
      </w:r>
    </w:p>
    <w:p w14:paraId="52E7384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工艺工序模型：反映复杂节点施工顺序、工艺工法、安装流程等的过程模型或动画模拟；</w:t>
      </w:r>
    </w:p>
    <w:p w14:paraId="3DF8D76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计划与资源信息：与模型构件关联的进度计划（4D）、成本（5D）、人力、机具材料等信息；</w:t>
      </w:r>
    </w:p>
    <w:p w14:paraId="4EA9B85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e)质量与安全信息：与构件关联的验收标准、检测记录、危险源、安全措施等信息。</w:t>
      </w:r>
    </w:p>
    <w:p w14:paraId="64C3F3E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6.2.2</w:t>
      </w:r>
      <w:r>
        <w:rPr>
          <w:rFonts w:hint="eastAsia" w:ascii="Times New Roman" w:hAnsi="Times New Roman"/>
          <w:szCs w:val="24"/>
          <w:lang w:val="en-US" w:eastAsia="zh-CN"/>
        </w:rPr>
        <w:t xml:space="preserve"> </w:t>
      </w:r>
      <w:r>
        <w:rPr>
          <w:rFonts w:hint="eastAsia" w:ascii="Times New Roman" w:hAnsi="Times New Roman"/>
          <w:szCs w:val="24"/>
        </w:rPr>
        <w:t>模型深化设计应解决设计图纸中的错、漏、碰、缺等问题，并进行必要的施工可行性分析、碰撞检查与综合协调</w:t>
      </w:r>
      <w:r>
        <w:rPr>
          <w:rFonts w:hint="eastAsia" w:ascii="Times New Roman" w:hAnsi="Times New Roman"/>
          <w:szCs w:val="24"/>
          <w:lang w:eastAsia="zh-CN"/>
        </w:rPr>
        <w:t>，其成果应满足</w:t>
      </w:r>
      <w:r>
        <w:rPr>
          <w:rFonts w:hint="eastAsia" w:ascii="Times New Roman" w:hAnsi="Times New Roman"/>
          <w:szCs w:val="24"/>
          <w:lang w:val="en-US" w:eastAsia="zh-CN"/>
        </w:rPr>
        <w:t>SL/T 223的</w:t>
      </w:r>
      <w:r>
        <w:rPr>
          <w:rFonts w:hint="eastAsia" w:ascii="Times New Roman" w:hAnsi="Times New Roman"/>
          <w:szCs w:val="24"/>
          <w:lang w:eastAsia="zh-CN"/>
        </w:rPr>
        <w:t>要求</w:t>
      </w:r>
      <w:r>
        <w:rPr>
          <w:rFonts w:hint="eastAsia" w:ascii="Times New Roman" w:hAnsi="Times New Roman"/>
          <w:szCs w:val="24"/>
        </w:rPr>
        <w:t>。</w:t>
      </w:r>
    </w:p>
    <w:p w14:paraId="1226A38C">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68" w:name="_Toc13416"/>
      <w:r>
        <w:rPr>
          <w:rFonts w:hint="eastAsia" w:ascii="Times New Roman" w:hAnsi="Times New Roman" w:eastAsia="黑体" w:cs="黑体"/>
          <w:b/>
          <w:bCs/>
          <w:kern w:val="21"/>
        </w:rPr>
        <w:t xml:space="preserve">6.3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模型精细度（LOD）与信息深度（LOI）</w:t>
      </w:r>
      <w:bookmarkEnd w:id="68"/>
    </w:p>
    <w:p w14:paraId="457BD1B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6.3.1</w:t>
      </w:r>
      <w:r>
        <w:rPr>
          <w:rFonts w:hint="eastAsia" w:ascii="Times New Roman" w:hAnsi="Times New Roman"/>
          <w:szCs w:val="24"/>
          <w:lang w:val="en-US" w:eastAsia="zh-CN"/>
        </w:rPr>
        <w:t xml:space="preserve"> </w:t>
      </w:r>
      <w:r>
        <w:rPr>
          <w:rFonts w:hint="eastAsia" w:ascii="Times New Roman" w:hAnsi="Times New Roman"/>
          <w:szCs w:val="24"/>
        </w:rPr>
        <w:t>模型精细度等级应满足不同施工阶段的应用需求。各等级的定义应符合各等级的定义宜符合GB/T 51301</w:t>
      </w:r>
      <w:r>
        <w:rPr>
          <w:rFonts w:hint="eastAsia" w:ascii="Times New Roman" w:hAnsi="Times New Roman"/>
          <w:szCs w:val="24"/>
          <w:lang w:val="en-US" w:eastAsia="zh-CN"/>
        </w:rPr>
        <w:t>及</w:t>
      </w:r>
      <w:r>
        <w:rPr>
          <w:rFonts w:hint="eastAsia" w:ascii="Times New Roman" w:hAnsi="Times New Roman"/>
          <w:szCs w:val="24"/>
          <w:lang w:eastAsia="zh-CN"/>
        </w:rPr>
        <w:t>NB/T 10508</w:t>
      </w:r>
      <w:r>
        <w:rPr>
          <w:rFonts w:hint="eastAsia" w:ascii="Times New Roman" w:hAnsi="Times New Roman"/>
          <w:szCs w:val="24"/>
        </w:rPr>
        <w:t>或项目约定的相关要求。LOD等级宜按施工准备、施工实施、竣工验收等阶段逐步提升。</w:t>
      </w:r>
    </w:p>
    <w:p w14:paraId="6BD5920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6.3.2</w:t>
      </w:r>
      <w:r>
        <w:rPr>
          <w:rFonts w:hint="eastAsia" w:ascii="Times New Roman" w:hAnsi="Times New Roman"/>
          <w:szCs w:val="24"/>
          <w:lang w:val="en-US" w:eastAsia="zh-CN"/>
        </w:rPr>
        <w:t xml:space="preserve"> </w:t>
      </w:r>
      <w:r>
        <w:rPr>
          <w:rFonts w:hint="eastAsia" w:ascii="Times New Roman" w:hAnsi="Times New Roman"/>
          <w:szCs w:val="24"/>
        </w:rPr>
        <w:t>模型信息深度应与精细度匹配，随项目进展不断丰富。信息属性应结构化、标准化，便于查询、提取与计算。</w:t>
      </w:r>
    </w:p>
    <w:p w14:paraId="2F5D54D5">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eastAsia="zh-CN"/>
        </w:rPr>
      </w:pPr>
      <w:bookmarkStart w:id="69" w:name="_Toc2271"/>
      <w:r>
        <w:rPr>
          <w:rFonts w:hint="eastAsia" w:ascii="Times New Roman" w:hAnsi="Times New Roman" w:eastAsia="黑体" w:cs="黑体"/>
          <w:b/>
          <w:bCs/>
          <w:kern w:val="21"/>
        </w:rPr>
        <w:t xml:space="preserve">6.4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模型创建与更新</w:t>
      </w:r>
      <w:bookmarkEnd w:id="69"/>
    </w:p>
    <w:p w14:paraId="6C8A794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6.4.1</w:t>
      </w:r>
      <w:r>
        <w:rPr>
          <w:rFonts w:hint="eastAsia" w:ascii="Times New Roman" w:hAnsi="Times New Roman"/>
          <w:szCs w:val="24"/>
          <w:lang w:val="en-US" w:eastAsia="zh-CN"/>
        </w:rPr>
        <w:t xml:space="preserve"> </w:t>
      </w:r>
      <w:r>
        <w:rPr>
          <w:rFonts w:hint="eastAsia" w:ascii="Times New Roman" w:hAnsi="Times New Roman"/>
          <w:szCs w:val="24"/>
        </w:rPr>
        <w:t>模型创建前应进行技术策划，明确建模范围、分工职责、深度要求、交付成果及验收标准。</w:t>
      </w:r>
    </w:p>
    <w:p w14:paraId="309969A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6.4.2</w:t>
      </w:r>
      <w:r>
        <w:rPr>
          <w:rFonts w:hint="eastAsia" w:ascii="Times New Roman" w:hAnsi="Times New Roman"/>
          <w:szCs w:val="24"/>
          <w:lang w:val="en-US" w:eastAsia="zh-CN"/>
        </w:rPr>
        <w:t xml:space="preserve"> </w:t>
      </w:r>
      <w:r>
        <w:rPr>
          <w:rFonts w:hint="eastAsia" w:ascii="Times New Roman" w:hAnsi="Times New Roman"/>
          <w:szCs w:val="24"/>
        </w:rPr>
        <w:t>模型应根据现场实际情况、设计变更、施工进度等动态更新，保证模型与实体工程的一致性。模型版本应进行有效管理。</w:t>
      </w:r>
    </w:p>
    <w:p w14:paraId="694761D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6.4.3</w:t>
      </w:r>
      <w:r>
        <w:rPr>
          <w:rFonts w:hint="eastAsia" w:ascii="Times New Roman" w:hAnsi="Times New Roman"/>
          <w:szCs w:val="24"/>
          <w:lang w:val="en-US" w:eastAsia="zh-CN"/>
        </w:rPr>
        <w:t xml:space="preserve"> </w:t>
      </w:r>
      <w:r>
        <w:rPr>
          <w:rFonts w:hint="eastAsia" w:ascii="Times New Roman" w:hAnsi="Times New Roman"/>
          <w:szCs w:val="24"/>
        </w:rPr>
        <w:t>模型更新应建立审核与批准流程，确保模型的准确性和可靠性。</w:t>
      </w:r>
    </w:p>
    <w:p w14:paraId="451CD7C6">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eastAsia="zh-CN"/>
        </w:rPr>
      </w:pPr>
      <w:bookmarkStart w:id="70" w:name="_Toc19050"/>
      <w:r>
        <w:rPr>
          <w:rFonts w:hint="eastAsia" w:ascii="Times New Roman" w:hAnsi="Times New Roman" w:eastAsia="黑体" w:cs="黑体"/>
          <w:b/>
          <w:bCs/>
          <w:kern w:val="21"/>
        </w:rPr>
        <w:t xml:space="preserve">6.5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模型审核与验证</w:t>
      </w:r>
      <w:bookmarkEnd w:id="70"/>
    </w:p>
    <w:p w14:paraId="3E3320CF">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rPr>
        <w:t>6.5.1</w:t>
      </w:r>
      <w:r>
        <w:rPr>
          <w:rFonts w:hint="eastAsia" w:ascii="Times New Roman" w:hAnsi="Times New Roman"/>
          <w:szCs w:val="24"/>
          <w:lang w:val="en-US" w:eastAsia="zh-CN"/>
        </w:rPr>
        <w:t xml:space="preserve"> </w:t>
      </w:r>
      <w:r>
        <w:rPr>
          <w:rFonts w:hint="eastAsia" w:ascii="Times New Roman" w:hAnsi="Times New Roman"/>
          <w:szCs w:val="24"/>
        </w:rPr>
        <w:t>应定期对模型的准确性、完整性、协调性进行审核。审核应包括但不限于</w:t>
      </w:r>
      <w:r>
        <w:rPr>
          <w:rFonts w:hint="eastAsia" w:ascii="Times New Roman" w:hAnsi="Times New Roman"/>
          <w:szCs w:val="24"/>
          <w:lang w:val="en-US" w:eastAsia="zh-CN"/>
        </w:rPr>
        <w:t>表2中的检查。</w:t>
      </w:r>
    </w:p>
    <w:p w14:paraId="2BC41C6D">
      <w:pPr>
        <w:adjustRightInd/>
        <w:spacing w:line="360" w:lineRule="auto"/>
        <w:jc w:val="center"/>
        <w:rPr>
          <w:rFonts w:hint="default" w:ascii="Times New Roman" w:hAnsi="Times New Roman"/>
          <w:szCs w:val="24"/>
          <w:lang w:val="en-US" w:eastAsia="zh-CN"/>
        </w:rPr>
      </w:pPr>
      <w:r>
        <w:rPr>
          <w:rFonts w:hint="eastAsia" w:ascii="Times New Roman" w:hAnsi="Times New Roman"/>
          <w:szCs w:val="24"/>
          <w:lang w:val="en-US" w:eastAsia="zh-CN"/>
        </w:rPr>
        <w:t>表2 模型审核要求</w:t>
      </w:r>
    </w:p>
    <w:tbl>
      <w:tblPr>
        <w:tblStyle w:val="30"/>
        <w:tblW w:w="47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80"/>
        <w:gridCol w:w="3736"/>
      </w:tblGrid>
      <w:tr w14:paraId="7FD90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2AF6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检查类型</w:t>
            </w:r>
          </w:p>
        </w:tc>
        <w:tc>
          <w:tcPr>
            <w:tcW w:w="2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7A08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检查内容</w:t>
            </w:r>
          </w:p>
        </w:tc>
      </w:tr>
      <w:tr w14:paraId="718CD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1FB9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合规性检查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D2B0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是否符合既定规则与标准</w:t>
            </w:r>
          </w:p>
        </w:tc>
      </w:tr>
      <w:tr w14:paraId="7D40B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E404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碰撞检查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760C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各专业模型间是否存在空间冲突</w:t>
            </w:r>
          </w:p>
        </w:tc>
      </w:tr>
      <w:tr w14:paraId="43368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1D70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一致性检查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6E40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模型与设计图纸、技术规范是否一致</w:t>
            </w:r>
          </w:p>
        </w:tc>
      </w:tr>
      <w:tr w14:paraId="43D76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A7DE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可施工性检查</w:t>
            </w:r>
            <w:r>
              <w:rPr>
                <w:rStyle w:val="242"/>
                <w:rFonts w:eastAsia="宋体"/>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4F85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模型是否反映施工可行性</w:t>
            </w:r>
          </w:p>
        </w:tc>
      </w:tr>
    </w:tbl>
    <w:p w14:paraId="7B4753A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6.5.2</w:t>
      </w:r>
      <w:r>
        <w:rPr>
          <w:rFonts w:hint="eastAsia" w:ascii="Times New Roman" w:hAnsi="Times New Roman"/>
          <w:szCs w:val="24"/>
          <w:lang w:val="en-US" w:eastAsia="zh-CN"/>
        </w:rPr>
        <w:t xml:space="preserve"> </w:t>
      </w:r>
      <w:r>
        <w:rPr>
          <w:rFonts w:hint="eastAsia" w:ascii="Times New Roman" w:hAnsi="Times New Roman"/>
          <w:szCs w:val="24"/>
        </w:rPr>
        <w:t>宜采用专业的模型检查软件或工具进行自动化的规则检查和问题报告。</w:t>
      </w:r>
    </w:p>
    <w:p w14:paraId="6DCFAE1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6.5.3</w:t>
      </w:r>
      <w:r>
        <w:rPr>
          <w:rFonts w:hint="eastAsia" w:ascii="Times New Roman" w:hAnsi="Times New Roman"/>
          <w:szCs w:val="24"/>
          <w:lang w:val="en-US" w:eastAsia="zh-CN"/>
        </w:rPr>
        <w:t xml:space="preserve"> </w:t>
      </w:r>
      <w:r>
        <w:rPr>
          <w:rFonts w:hint="eastAsia" w:ascii="Times New Roman" w:hAnsi="Times New Roman"/>
          <w:szCs w:val="24"/>
        </w:rPr>
        <w:t>对于通过激光扫描等技术获取的实景模型，应将其与设计模型进行对比分析，验证施工精度。</w:t>
      </w:r>
    </w:p>
    <w:p w14:paraId="54D2652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1" w:name="_Toc21030"/>
      <w:r>
        <w:rPr>
          <w:rFonts w:hint="eastAsia" w:ascii="Times New Roman" w:hAnsi="Times New Roman" w:eastAsia="黑体" w:cs="黑体"/>
          <w:b/>
          <w:bCs/>
          <w:kern w:val="21"/>
        </w:rPr>
        <w:t xml:space="preserve">6.6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模型交付与交换</w:t>
      </w:r>
      <w:bookmarkEnd w:id="71"/>
    </w:p>
    <w:p w14:paraId="76A1606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6.6.1</w:t>
      </w:r>
      <w:r>
        <w:rPr>
          <w:rFonts w:hint="eastAsia" w:ascii="Times New Roman" w:hAnsi="Times New Roman"/>
          <w:szCs w:val="24"/>
          <w:lang w:val="en-US" w:eastAsia="zh-CN"/>
        </w:rPr>
        <w:t xml:space="preserve"> </w:t>
      </w:r>
      <w:r>
        <w:rPr>
          <w:rFonts w:hint="eastAsia" w:ascii="Times New Roman" w:hAnsi="Times New Roman"/>
          <w:szCs w:val="24"/>
        </w:rPr>
        <w:t>模型交付物应包括模型文件、属性信息表、审核报告、可视化成果及必要的说明文档。</w:t>
      </w:r>
    </w:p>
    <w:p w14:paraId="4A127CC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6.6.2</w:t>
      </w:r>
      <w:r>
        <w:rPr>
          <w:rFonts w:hint="eastAsia" w:ascii="Times New Roman" w:hAnsi="Times New Roman"/>
          <w:szCs w:val="24"/>
          <w:lang w:val="en-US" w:eastAsia="zh-CN"/>
        </w:rPr>
        <w:t xml:space="preserve"> </w:t>
      </w:r>
      <w:r>
        <w:rPr>
          <w:rFonts w:hint="eastAsia" w:ascii="Times New Roman" w:hAnsi="Times New Roman"/>
          <w:szCs w:val="24"/>
        </w:rPr>
        <w:t>模型交换格式应采用开放标准（如IFC），确保数据在不同平台和软件间的无损传递与长期可读性。必要时可约定共有的原生文件格式。</w:t>
      </w:r>
    </w:p>
    <w:p w14:paraId="742E51AE">
      <w:pPr>
        <w:adjustRightInd/>
        <w:spacing w:line="360" w:lineRule="auto"/>
        <w:ind w:firstLine="420" w:firstLineChars="200"/>
        <w:rPr>
          <w:rFonts w:ascii="Times New Roman" w:hAnsi="Times New Roman"/>
          <w:szCs w:val="24"/>
        </w:rPr>
      </w:pPr>
      <w:r>
        <w:rPr>
          <w:rFonts w:hint="eastAsia" w:ascii="Times New Roman" w:hAnsi="Times New Roman"/>
          <w:szCs w:val="24"/>
        </w:rPr>
        <w:t>6.6.3</w:t>
      </w:r>
      <w:r>
        <w:rPr>
          <w:rFonts w:hint="eastAsia" w:ascii="Times New Roman" w:hAnsi="Times New Roman"/>
          <w:szCs w:val="24"/>
          <w:lang w:val="en-US" w:eastAsia="zh-CN"/>
        </w:rPr>
        <w:t xml:space="preserve"> </w:t>
      </w:r>
      <w:r>
        <w:rPr>
          <w:rFonts w:hint="eastAsia" w:ascii="Times New Roman" w:hAnsi="Times New Roman"/>
          <w:szCs w:val="24"/>
        </w:rPr>
        <w:t>模型交付应遵循约定的数据协议，满足下一阶段或接收方对模型的应用需求。</w:t>
      </w:r>
    </w:p>
    <w:p w14:paraId="4A32FACC">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72" w:name="_Toc31303"/>
      <w:r>
        <w:rPr>
          <w:rFonts w:hint="eastAsia" w:ascii="Times New Roman" w:hAnsi="Times New Roman" w:eastAsia="黑体"/>
          <w:b/>
          <w:bCs w:val="0"/>
          <w:kern w:val="44"/>
          <w:lang w:val="en-US" w:eastAsia="zh-CN"/>
        </w:rPr>
        <w:t>施工数字化管理</w:t>
      </w:r>
      <w:bookmarkEnd w:id="72"/>
    </w:p>
    <w:p w14:paraId="52276FA2">
      <w:pPr>
        <w:keepNext/>
        <w:keepLines/>
        <w:tabs>
          <w:tab w:val="left" w:pos="420"/>
          <w:tab w:val="left" w:pos="540"/>
        </w:tabs>
        <w:adjustRightInd/>
        <w:spacing w:before="156" w:beforeLines="50" w:after="156" w:afterLines="50" w:line="240" w:lineRule="auto"/>
        <w:outlineLvl w:val="1"/>
        <w:rPr>
          <w:rFonts w:hint="default" w:ascii="Times New Roman" w:hAnsi="Times New Roman" w:eastAsia="黑体" w:cs="黑体"/>
          <w:b/>
          <w:bCs/>
          <w:kern w:val="21"/>
        </w:rPr>
      </w:pPr>
      <w:bookmarkStart w:id="73" w:name="_Toc29787"/>
      <w:bookmarkStart w:id="74" w:name="_Toc5782"/>
      <w:r>
        <w:rPr>
          <w:rFonts w:hint="default" w:ascii="Times New Roman" w:hAnsi="Times New Roman" w:eastAsia="黑体" w:cs="黑体"/>
          <w:b/>
          <w:bCs/>
          <w:kern w:val="21"/>
        </w:rPr>
        <w:t>7.1</w:t>
      </w:r>
      <w:r>
        <w:rPr>
          <w:rFonts w:hint="default" w:ascii="Times New Roman" w:hAnsi="Times New Roman" w:eastAsia="黑体" w:cs="黑体"/>
          <w:b/>
          <w:bCs/>
          <w:kern w:val="21"/>
          <w:lang w:val="en-US" w:eastAsia="zh-CN"/>
        </w:rPr>
        <w:t xml:space="preserve">  </w:t>
      </w:r>
      <w:r>
        <w:rPr>
          <w:rFonts w:hint="default" w:ascii="Times New Roman" w:hAnsi="Times New Roman" w:eastAsia="黑体" w:cs="黑体"/>
          <w:b w:val="0"/>
          <w:bCs w:val="0"/>
          <w:kern w:val="21"/>
        </w:rPr>
        <w:t>一般规定</w:t>
      </w:r>
      <w:bookmarkEnd w:id="73"/>
      <w:bookmarkEnd w:id="74"/>
    </w:p>
    <w:p w14:paraId="6DCE7AB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7.1.1 项目应建立以施工信息模型为核心、以协同平台为载体的数字化管理体系，实现施工全过程、全要素的数字化、精细化和智能化管理。</w:t>
      </w:r>
    </w:p>
    <w:p w14:paraId="1DE8AF0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7.1.2 数字化管理应覆盖施工策划、准备、实施、验收及交付的全过程，并与项目管理目标深度融合。</w:t>
      </w:r>
    </w:p>
    <w:p w14:paraId="6505F05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7.1.3 各参建方应通过统一平台开展业务协同与数据共享，确保管理流程在线化、可视化、可追溯。</w:t>
      </w:r>
    </w:p>
    <w:p w14:paraId="7EDDD593">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5" w:name="_Toc19333"/>
      <w:r>
        <w:rPr>
          <w:rFonts w:hint="eastAsia" w:ascii="Times New Roman" w:hAnsi="Times New Roman" w:eastAsia="黑体" w:cs="黑体"/>
          <w:b/>
          <w:bCs/>
          <w:kern w:val="21"/>
        </w:rPr>
        <w:t xml:space="preserve">7.2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数字化施工策划与方案管理</w:t>
      </w:r>
      <w:bookmarkEnd w:id="75"/>
    </w:p>
    <w:p w14:paraId="0E7E47B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7.2.1 应在施工信息模型基础上进行施工组织设计和专项施工方案的模拟、分析与优化。重要临时设施、复杂工艺工序应进行可视化交底。</w:t>
      </w:r>
    </w:p>
    <w:p w14:paraId="1C0C2C5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7.2.2 宜应用施工模拟技术（4D/5D）对施工顺序、资源调配、场地布置、重大技术方案（如大体积混凝土浇筑、结构吊装、导截流）进行虚拟建造和可行性验证，优化施工方案。</w:t>
      </w:r>
    </w:p>
    <w:p w14:paraId="5A54DFE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7.2.3 数字化施工方案应包含相应的模型、模拟动画、分析报告及优化建议，并作为审批的重要依据。</w:t>
      </w:r>
    </w:p>
    <w:p w14:paraId="7AB3E5B2">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6" w:name="_Toc30549"/>
      <w:r>
        <w:rPr>
          <w:rFonts w:hint="eastAsia" w:ascii="Times New Roman" w:hAnsi="Times New Roman" w:eastAsia="黑体" w:cs="黑体"/>
          <w:b/>
          <w:bCs/>
          <w:kern w:val="21"/>
        </w:rPr>
        <w:t xml:space="preserve">7.3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数字工地管理</w:t>
      </w:r>
      <w:bookmarkEnd w:id="76"/>
    </w:p>
    <w:p w14:paraId="22865B2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7.3.1 应建立数字工地系统，对施工现场的人员、机械、材料、环境、安全、质量等关键要素进行实时感知、智能处理和协同管理</w:t>
      </w:r>
      <w:r>
        <w:rPr>
          <w:rFonts w:hint="eastAsia" w:ascii="Times New Roman" w:hAnsi="Times New Roman"/>
          <w:szCs w:val="24"/>
          <w:lang w:eastAsia="zh-CN"/>
        </w:rPr>
        <w:t>，数字工地系统的建设可参照JGJ/T 434的相关规定执行</w:t>
      </w:r>
      <w:r>
        <w:rPr>
          <w:rFonts w:hint="eastAsia" w:ascii="Times New Roman" w:hAnsi="Times New Roman"/>
          <w:szCs w:val="24"/>
        </w:rPr>
        <w:t>。</w:t>
      </w:r>
    </w:p>
    <w:p w14:paraId="11BC2A2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7.3.2 人员管理：宜采用生物识别、定位技术（如UWB、蓝牙信标）等进行实名制管理、考勤统计、区域准入控制、安全预警和应急救援。</w:t>
      </w:r>
    </w:p>
    <w:p w14:paraId="585CD7C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7.3.3 机械设备管理：宜为大型或关键施工机械安装智能监控终端，实时监测其工作状态、位置、油耗、工作效率、安全状态等，实现智能调度与预防性维护。</w:t>
      </w:r>
    </w:p>
    <w:p w14:paraId="4215DCA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7.3.4 材料管理：宜应用物联网技术（如RFID、二维码）对主要工程材料的采购、运输、进场、验收、仓储、领用等环节进行全过程追踪与溯源。</w:t>
      </w:r>
    </w:p>
    <w:p w14:paraId="63F513E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7.3.5 环境监测：应对施工现场的扬尘、噪声、风速、气象等环境指标进行实时监测，数据超限时应自动预警并联动喷淋等处置设施。</w:t>
      </w:r>
    </w:p>
    <w:p w14:paraId="3E85343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7.3.6 视频监控：关键施工区域、危险作业点、主要出入口应实现视频监控全覆盖，并宜采用AI图像识别技术进行自动巡检、安全行为识别（如未佩戴安全帽）和风险预警</w:t>
      </w:r>
      <w:r>
        <w:rPr>
          <w:rFonts w:hint="eastAsia" w:ascii="Times New Roman" w:hAnsi="Times New Roman"/>
          <w:szCs w:val="24"/>
          <w:lang w:eastAsia="zh-CN"/>
        </w:rPr>
        <w:t>，其监控设备布设应符合SL 398和SL</w:t>
      </w:r>
      <w:r>
        <w:rPr>
          <w:rFonts w:hint="eastAsia" w:ascii="Times New Roman" w:hAnsi="Times New Roman"/>
          <w:szCs w:val="24"/>
          <w:lang w:val="en-US" w:eastAsia="zh-CN"/>
        </w:rPr>
        <w:t>/T</w:t>
      </w:r>
      <w:r>
        <w:rPr>
          <w:rFonts w:hint="eastAsia" w:ascii="Times New Roman" w:hAnsi="Times New Roman"/>
          <w:szCs w:val="24"/>
          <w:lang w:eastAsia="zh-CN"/>
        </w:rPr>
        <w:t xml:space="preserve"> 721对安全监控的要求</w:t>
      </w:r>
      <w:r>
        <w:rPr>
          <w:rFonts w:hint="eastAsia" w:ascii="Times New Roman" w:hAnsi="Times New Roman"/>
          <w:szCs w:val="24"/>
        </w:rPr>
        <w:t>。</w:t>
      </w:r>
    </w:p>
    <w:p w14:paraId="12CD5CFD">
      <w:pPr>
        <w:keepNext/>
        <w:keepLines/>
        <w:tabs>
          <w:tab w:val="left" w:pos="420"/>
          <w:tab w:val="left" w:pos="540"/>
        </w:tabs>
        <w:adjustRightInd/>
        <w:spacing w:before="156" w:beforeLines="50" w:after="156" w:afterLines="50" w:line="240" w:lineRule="auto"/>
        <w:outlineLvl w:val="1"/>
        <w:rPr>
          <w:rFonts w:hint="eastAsia" w:ascii="Times New Roman" w:hAnsi="Times New Roman"/>
          <w:szCs w:val="24"/>
        </w:rPr>
      </w:pPr>
      <w:bookmarkStart w:id="77" w:name="_Toc7043"/>
      <w:r>
        <w:rPr>
          <w:rFonts w:hint="eastAsia" w:ascii="Times New Roman" w:hAnsi="Times New Roman" w:eastAsia="黑体" w:cs="黑体"/>
          <w:b/>
          <w:bCs/>
          <w:kern w:val="21"/>
        </w:rPr>
        <w:t xml:space="preserve">7.4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进度管理</w:t>
      </w:r>
      <w:bookmarkEnd w:id="77"/>
    </w:p>
    <w:p w14:paraId="1458D63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7.4.1 应将施工进度计划（WBS）与模型构件进行关联，构建4D施工进度模型，实现进度计划的可视化模拟与展示。</w:t>
      </w:r>
    </w:p>
    <w:p w14:paraId="37E0D53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7.4.2 应通过移动终端、物联网设备等方式，实时采集实际进度数据，并与计划进度进行自动对比分析，动态生成进度偏差分析与预警报告。</w:t>
      </w:r>
    </w:p>
    <w:p w14:paraId="0F20314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7.4.3 宜利用模型进行进度协调，直观展示工序交接、空间冲突等问题，优化资源调配，辅助进度决策。</w:t>
      </w:r>
    </w:p>
    <w:p w14:paraId="7DCB4E74">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8" w:name="_Toc25036"/>
      <w:r>
        <w:rPr>
          <w:rFonts w:hint="eastAsia" w:ascii="Times New Roman" w:hAnsi="Times New Roman" w:eastAsia="黑体" w:cs="黑体"/>
          <w:b/>
          <w:bCs/>
          <w:kern w:val="21"/>
        </w:rPr>
        <w:t xml:space="preserve">7.5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成本管理</w:t>
      </w:r>
      <w:bookmarkEnd w:id="78"/>
    </w:p>
    <w:p w14:paraId="38EEE62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7.5.1 应基于施工信息模型，自动或半自动提取工程量，为工程量核算、采购计划制定提供更准确的数据支撑。</w:t>
      </w:r>
    </w:p>
    <w:p w14:paraId="5A39A28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7.5.2 宜将模型与成本数据（单价、合同价、实际成本）关联，实现成本计划的动态模拟（5D）和“三算”对比分析（预算、计划、实际）。</w:t>
      </w:r>
    </w:p>
    <w:p w14:paraId="2F41224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7.5.3 宜利用数字化手段对材料消耗、机械台班、人工工时等进行精细核算，实现成本的过程控制和动态管理。</w:t>
      </w:r>
    </w:p>
    <w:p w14:paraId="54548C3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9" w:name="_Toc14693"/>
      <w:r>
        <w:rPr>
          <w:rFonts w:hint="eastAsia" w:ascii="Times New Roman" w:hAnsi="Times New Roman" w:eastAsia="黑体" w:cs="黑体"/>
          <w:b/>
          <w:bCs/>
          <w:kern w:val="21"/>
        </w:rPr>
        <w:t>7.6</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质量管理</w:t>
      </w:r>
      <w:bookmarkEnd w:id="79"/>
    </w:p>
    <w:p w14:paraId="18B147C5">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7.6.1</w:t>
      </w:r>
      <w:r>
        <w:rPr>
          <w:rFonts w:hint="eastAsia" w:ascii="Times New Roman" w:hAnsi="Times New Roman"/>
          <w:szCs w:val="24"/>
        </w:rPr>
        <w:t xml:space="preserve"> 宜将质量验收标准、检测计划与模型构件关联，生成数字化的检验批划分和质量控制点</w:t>
      </w:r>
      <w:r>
        <w:rPr>
          <w:rFonts w:hint="eastAsia" w:ascii="Times New Roman" w:hAnsi="Times New Roman"/>
          <w:szCs w:val="24"/>
          <w:lang w:eastAsia="zh-CN"/>
        </w:rPr>
        <w:t>，验收标准的划分和评定应符合SL</w:t>
      </w:r>
      <w:r>
        <w:rPr>
          <w:rFonts w:hint="eastAsia" w:ascii="Times New Roman" w:hAnsi="Times New Roman"/>
          <w:szCs w:val="24"/>
          <w:lang w:val="en-US" w:eastAsia="zh-CN"/>
        </w:rPr>
        <w:t>/L</w:t>
      </w:r>
      <w:r>
        <w:rPr>
          <w:rFonts w:hint="eastAsia" w:ascii="Times New Roman" w:hAnsi="Times New Roman"/>
          <w:szCs w:val="24"/>
          <w:lang w:eastAsia="zh-CN"/>
        </w:rPr>
        <w:t xml:space="preserve"> </w:t>
      </w:r>
      <w:r>
        <w:rPr>
          <w:rFonts w:hint="eastAsia" w:ascii="Times New Roman" w:hAnsi="Times New Roman"/>
          <w:szCs w:val="24"/>
          <w:lang w:val="en-US" w:eastAsia="zh-CN"/>
        </w:rPr>
        <w:t>223</w:t>
      </w:r>
      <w:r>
        <w:rPr>
          <w:rFonts w:hint="eastAsia" w:ascii="Times New Roman" w:hAnsi="Times New Roman"/>
          <w:szCs w:val="24"/>
          <w:lang w:eastAsia="zh-CN"/>
        </w:rPr>
        <w:t>的规定</w:t>
      </w:r>
      <w:r>
        <w:rPr>
          <w:rFonts w:hint="eastAsia" w:ascii="Times New Roman" w:hAnsi="Times New Roman"/>
          <w:szCs w:val="24"/>
        </w:rPr>
        <w:t>；</w:t>
      </w:r>
    </w:p>
    <w:p w14:paraId="33CBE07F">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7.6.2</w:t>
      </w:r>
      <w:r>
        <w:rPr>
          <w:rFonts w:hint="eastAsia" w:ascii="Times New Roman" w:hAnsi="Times New Roman"/>
          <w:szCs w:val="24"/>
        </w:rPr>
        <w:t xml:space="preserve"> 质量检查、验收、评定流程应通过移动终端在线进行，支持照片、视频等多媒体记录，并与模型位置关联，实现质量问题的闭环管理</w:t>
      </w:r>
      <w:r>
        <w:rPr>
          <w:rFonts w:hint="eastAsia" w:ascii="Times New Roman" w:hAnsi="Times New Roman"/>
          <w:szCs w:val="24"/>
          <w:lang w:val="en-US" w:eastAsia="zh-CN"/>
        </w:rPr>
        <w:t>,其流程应符</w:t>
      </w:r>
      <w:r>
        <w:rPr>
          <w:rFonts w:hint="eastAsia" w:ascii="Times New Roman" w:hAnsi="Times New Roman"/>
          <w:szCs w:val="24"/>
          <w:highlight w:val="none"/>
          <w:lang w:val="en-US" w:eastAsia="zh-CN"/>
        </w:rPr>
        <w:t>合SL/L 288中关</w:t>
      </w:r>
      <w:r>
        <w:rPr>
          <w:rFonts w:hint="eastAsia" w:ascii="Times New Roman" w:hAnsi="Times New Roman"/>
          <w:szCs w:val="24"/>
          <w:lang w:val="en-US" w:eastAsia="zh-CN"/>
        </w:rPr>
        <w:t>于监理工作的程序规定</w:t>
      </w:r>
      <w:r>
        <w:rPr>
          <w:rFonts w:hint="eastAsia" w:ascii="Times New Roman" w:hAnsi="Times New Roman"/>
          <w:szCs w:val="24"/>
        </w:rPr>
        <w:t>；</w:t>
      </w:r>
    </w:p>
    <w:p w14:paraId="26832368">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7.6.3</w:t>
      </w:r>
      <w:r>
        <w:rPr>
          <w:rFonts w:hint="eastAsia" w:ascii="Times New Roman" w:hAnsi="Times New Roman"/>
          <w:szCs w:val="24"/>
        </w:rPr>
        <w:t xml:space="preserve"> 宜利用测量机器人、三维扫描等技术进行施工精度检查，并将实测实量数据与设计模型进行自动比对，生成质量分析报告</w:t>
      </w:r>
      <w:r>
        <w:rPr>
          <w:rFonts w:hint="eastAsia" w:ascii="Times New Roman" w:hAnsi="Times New Roman"/>
          <w:szCs w:val="24"/>
          <w:lang w:eastAsia="zh-CN"/>
        </w:rPr>
        <w:t>，施工测量的精度应符合GB 50026的规定</w:t>
      </w:r>
      <w:r>
        <w:rPr>
          <w:rFonts w:hint="eastAsia" w:ascii="Times New Roman" w:hAnsi="Times New Roman"/>
          <w:szCs w:val="24"/>
        </w:rPr>
        <w:t>。</w:t>
      </w:r>
    </w:p>
    <w:p w14:paraId="0904D436">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80" w:name="_Toc10862"/>
      <w:r>
        <w:rPr>
          <w:rFonts w:hint="eastAsia" w:ascii="Times New Roman" w:hAnsi="Times New Roman" w:eastAsia="黑体" w:cs="黑体"/>
          <w:b/>
          <w:bCs/>
          <w:kern w:val="21"/>
        </w:rPr>
        <w:t>7.</w:t>
      </w:r>
      <w:r>
        <w:rPr>
          <w:rFonts w:hint="eastAsia" w:ascii="Times New Roman" w:hAnsi="Times New Roman" w:eastAsia="黑体" w:cs="黑体"/>
          <w:b/>
          <w:bCs/>
          <w:kern w:val="21"/>
          <w:lang w:val="en-US" w:eastAsia="zh-CN"/>
        </w:rPr>
        <w:t>7</w:t>
      </w:r>
      <w:r>
        <w:rPr>
          <w:rFonts w:hint="eastAsia" w:ascii="Times New Roman" w:hAnsi="Times New Roman" w:eastAsia="黑体" w:cs="黑体"/>
          <w:b/>
          <w:bCs/>
          <w:kern w:val="21"/>
        </w:rPr>
        <w:t xml:space="preserve">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安全管理</w:t>
      </w:r>
      <w:bookmarkEnd w:id="80"/>
    </w:p>
    <w:p w14:paraId="094B4851">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7.7.1</w:t>
      </w:r>
      <w:r>
        <w:rPr>
          <w:rFonts w:hint="eastAsia" w:ascii="Times New Roman" w:hAnsi="Times New Roman"/>
          <w:szCs w:val="24"/>
        </w:rPr>
        <w:t xml:space="preserve"> 应基于模型进行危险源动态辨识与可视化标注，生成安全风险平面布置图</w:t>
      </w:r>
      <w:r>
        <w:rPr>
          <w:rFonts w:hint="eastAsia" w:ascii="Times New Roman" w:hAnsi="Times New Roman"/>
          <w:szCs w:val="24"/>
          <w:lang w:eastAsia="zh-CN"/>
        </w:rPr>
        <w:t>；危险源辨识与管理的原则应符合SL/T 721</w:t>
      </w:r>
      <w:r>
        <w:rPr>
          <w:rFonts w:hint="eastAsia" w:ascii="Times New Roman" w:hAnsi="Times New Roman"/>
          <w:szCs w:val="24"/>
          <w:lang w:val="en-US" w:eastAsia="zh-CN"/>
        </w:rPr>
        <w:t>和SL 398</w:t>
      </w:r>
      <w:r>
        <w:rPr>
          <w:rFonts w:hint="eastAsia" w:ascii="Times New Roman" w:hAnsi="Times New Roman"/>
          <w:szCs w:val="24"/>
          <w:lang w:eastAsia="zh-CN"/>
        </w:rPr>
        <w:t>的规定；</w:t>
      </w:r>
    </w:p>
    <w:p w14:paraId="78EC0D9A">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lang w:val="en-US" w:eastAsia="zh-CN"/>
        </w:rPr>
        <w:t>7.7.2</w:t>
      </w:r>
      <w:r>
        <w:rPr>
          <w:rFonts w:hint="eastAsia" w:ascii="Times New Roman" w:hAnsi="Times New Roman"/>
          <w:szCs w:val="24"/>
        </w:rPr>
        <w:t xml:space="preserve"> 安全巡检、隐患排查治理应实现流程数字化，支持移动端现场记录、自动推送整改通知、在线复查销项；隐患排查治理的要求应符合</w:t>
      </w:r>
      <w:r>
        <w:rPr>
          <w:rFonts w:hint="eastAsia" w:ascii="Times New Roman" w:hAnsi="Times New Roman"/>
          <w:szCs w:val="24"/>
          <w:lang w:eastAsia="zh-CN"/>
        </w:rPr>
        <w:t>SL/T 721</w:t>
      </w:r>
      <w:r>
        <w:rPr>
          <w:rFonts w:hint="eastAsia" w:ascii="Times New Roman" w:hAnsi="Times New Roman"/>
          <w:szCs w:val="24"/>
        </w:rPr>
        <w:t>的规定</w:t>
      </w:r>
      <w:r>
        <w:rPr>
          <w:rFonts w:hint="eastAsia" w:ascii="Times New Roman" w:hAnsi="Times New Roman"/>
          <w:szCs w:val="24"/>
          <w:lang w:eastAsia="zh-CN"/>
        </w:rPr>
        <w:t>；</w:t>
      </w:r>
    </w:p>
    <w:p w14:paraId="63411811">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7.7.3</w:t>
      </w:r>
      <w:r>
        <w:rPr>
          <w:rFonts w:hint="eastAsia" w:ascii="Times New Roman" w:hAnsi="Times New Roman"/>
          <w:szCs w:val="24"/>
        </w:rPr>
        <w:t xml:space="preserve"> 宜在高风险区域设置电子围栏和智能感知设备，实现人员违规进入、危险区域接近等行为的自动预警</w:t>
      </w:r>
      <w:r>
        <w:rPr>
          <w:rFonts w:hint="eastAsia" w:ascii="Times New Roman" w:hAnsi="Times New Roman"/>
          <w:szCs w:val="24"/>
          <w:lang w:val="en-US" w:eastAsia="zh-CN"/>
        </w:rPr>
        <w:t>，其设置要求应符合SL 398中关于安全防护的规定</w:t>
      </w:r>
      <w:r>
        <w:rPr>
          <w:rFonts w:hint="eastAsia" w:ascii="Times New Roman" w:hAnsi="Times New Roman"/>
          <w:szCs w:val="24"/>
        </w:rPr>
        <w:t>；</w:t>
      </w:r>
    </w:p>
    <w:p w14:paraId="53ED0428">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7.7.4</w:t>
      </w:r>
      <w:r>
        <w:rPr>
          <w:rFonts w:hint="eastAsia" w:ascii="Times New Roman" w:hAnsi="Times New Roman"/>
          <w:szCs w:val="24"/>
        </w:rPr>
        <w:t xml:space="preserve"> 安全教育、安全技术交底</w:t>
      </w:r>
      <w:r>
        <w:rPr>
          <w:rFonts w:hint="eastAsia" w:ascii="Times New Roman" w:hAnsi="Times New Roman"/>
          <w:szCs w:val="24"/>
          <w:lang w:eastAsia="zh-CN"/>
        </w:rPr>
        <w:t>可</w:t>
      </w:r>
      <w:r>
        <w:rPr>
          <w:rFonts w:hint="eastAsia" w:ascii="Times New Roman" w:hAnsi="Times New Roman"/>
          <w:szCs w:val="24"/>
        </w:rPr>
        <w:t>采用VR/AR等沉浸式技术进行。</w:t>
      </w:r>
    </w:p>
    <w:p w14:paraId="3FEB8CBF">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81" w:name="_Toc19014"/>
      <w:r>
        <w:rPr>
          <w:rFonts w:hint="eastAsia" w:ascii="Times New Roman" w:hAnsi="Times New Roman" w:eastAsia="黑体" w:cs="黑体"/>
          <w:b/>
          <w:bCs/>
          <w:kern w:val="21"/>
        </w:rPr>
        <w:t>7.</w:t>
      </w:r>
      <w:r>
        <w:rPr>
          <w:rFonts w:hint="eastAsia" w:ascii="Times New Roman" w:hAnsi="Times New Roman" w:eastAsia="黑体" w:cs="黑体"/>
          <w:b/>
          <w:bCs/>
          <w:kern w:val="21"/>
          <w:lang w:val="en-US" w:eastAsia="zh-CN"/>
        </w:rPr>
        <w:t>8</w:t>
      </w:r>
      <w:r>
        <w:rPr>
          <w:rFonts w:hint="eastAsia" w:ascii="Times New Roman" w:hAnsi="Times New Roman" w:eastAsia="黑体" w:cs="黑体"/>
          <w:b/>
          <w:bCs/>
          <w:kern w:val="21"/>
        </w:rPr>
        <w:t xml:space="preserve">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协同办公与文档管理</w:t>
      </w:r>
      <w:bookmarkEnd w:id="81"/>
    </w:p>
    <w:p w14:paraId="644B239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w:t>
      </w:r>
      <w:r>
        <w:rPr>
          <w:rFonts w:hint="eastAsia" w:ascii="Times New Roman" w:hAnsi="Times New Roman"/>
          <w:szCs w:val="24"/>
          <w:lang w:val="en-US" w:eastAsia="zh-CN"/>
        </w:rPr>
        <w:t>8</w:t>
      </w:r>
      <w:r>
        <w:rPr>
          <w:rFonts w:hint="eastAsia" w:ascii="Times New Roman" w:hAnsi="Times New Roman"/>
          <w:szCs w:val="24"/>
        </w:rPr>
        <w:t>.1 所有参建方应通过协同平台进行沟通协调、流程审批（如技术核定、工程变更、报验申请）、会议管理等。</w:t>
      </w:r>
    </w:p>
    <w:p w14:paraId="61917C99">
      <w:pPr>
        <w:adjustRightInd/>
        <w:spacing w:line="360" w:lineRule="auto"/>
        <w:ind w:firstLine="420" w:firstLineChars="200"/>
        <w:rPr>
          <w:rFonts w:ascii="Times New Roman" w:hAnsi="Times New Roman"/>
          <w:szCs w:val="24"/>
        </w:rPr>
      </w:pPr>
      <w:r>
        <w:rPr>
          <w:rFonts w:hint="eastAsia" w:ascii="Times New Roman" w:hAnsi="Times New Roman"/>
          <w:szCs w:val="24"/>
        </w:rPr>
        <w:t>7.</w:t>
      </w:r>
      <w:r>
        <w:rPr>
          <w:rFonts w:hint="eastAsia" w:ascii="Times New Roman" w:hAnsi="Times New Roman"/>
          <w:szCs w:val="24"/>
          <w:lang w:val="en-US" w:eastAsia="zh-CN"/>
        </w:rPr>
        <w:t>8</w:t>
      </w:r>
      <w:r>
        <w:rPr>
          <w:rFonts w:hint="eastAsia" w:ascii="Times New Roman" w:hAnsi="Times New Roman"/>
          <w:szCs w:val="24"/>
        </w:rPr>
        <w:t>.2 应建立与模型关联的数字化文档管理体系，实现施工过程文档的在线创建、审批、发布、归档和检索。</w:t>
      </w:r>
    </w:p>
    <w:p w14:paraId="2305A157">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82" w:name="_Toc17041"/>
      <w:r>
        <w:rPr>
          <w:rFonts w:hint="eastAsia" w:ascii="Times New Roman" w:hAnsi="Times New Roman" w:eastAsia="黑体"/>
          <w:b/>
          <w:bCs w:val="0"/>
          <w:kern w:val="44"/>
          <w:lang w:val="en-US" w:eastAsia="zh-CN"/>
        </w:rPr>
        <w:t>系统集成与协同</w:t>
      </w:r>
      <w:bookmarkEnd w:id="82"/>
    </w:p>
    <w:p w14:paraId="4CA59D6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83" w:name="_Toc41"/>
      <w:bookmarkStart w:id="84" w:name="_Toc12258"/>
      <w:r>
        <w:rPr>
          <w:rFonts w:hint="eastAsia" w:ascii="Times New Roman" w:hAnsi="Times New Roman" w:eastAsia="黑体" w:cs="黑体"/>
          <w:b/>
          <w:bCs/>
          <w:kern w:val="21"/>
        </w:rPr>
        <w:t>8.1</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一般规定</w:t>
      </w:r>
      <w:bookmarkEnd w:id="83"/>
      <w:bookmarkEnd w:id="84"/>
    </w:p>
    <w:p w14:paraId="5A14B51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8.1.1</w:t>
      </w:r>
      <w:r>
        <w:rPr>
          <w:rFonts w:hint="eastAsia" w:ascii="Times New Roman" w:hAnsi="Times New Roman"/>
          <w:szCs w:val="24"/>
          <w:lang w:val="en-US" w:eastAsia="zh-CN"/>
        </w:rPr>
        <w:t xml:space="preserve"> </w:t>
      </w:r>
      <w:r>
        <w:rPr>
          <w:rFonts w:hint="eastAsia" w:ascii="Times New Roman" w:hAnsi="Times New Roman"/>
          <w:szCs w:val="24"/>
        </w:rPr>
        <w:t>项目应构建统一的水利工程施工</w:t>
      </w:r>
      <w:r>
        <w:rPr>
          <w:rFonts w:hint="eastAsia"/>
          <w:lang w:eastAsia="zh-CN"/>
        </w:rPr>
        <w:t>智能数字</w:t>
      </w:r>
      <w:r>
        <w:rPr>
          <w:rFonts w:hint="eastAsia" w:ascii="Times New Roman" w:hAnsi="Times New Roman"/>
          <w:szCs w:val="24"/>
        </w:rPr>
        <w:t>协同平台（以下简称“平台”），作为项目所有参建方进行信息共享、业务协同和决策支持的核心基础设施。</w:t>
      </w:r>
    </w:p>
    <w:p w14:paraId="71082EE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8.1.2 系统集成应以实现数据互通、业务联动、管理协同为目标，避免形成“信息孤岛”。</w:t>
      </w:r>
    </w:p>
    <w:p w14:paraId="29A18F2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8.1.3 集成与协同应遵循开放性和可扩展性原则，采用标准化的接口和协议，支持现有系统的接入和未来新功能的扩展。</w:t>
      </w:r>
    </w:p>
    <w:p w14:paraId="26F4974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85" w:name="_Toc2603"/>
      <w:r>
        <w:rPr>
          <w:rFonts w:hint="eastAsia" w:ascii="Times New Roman" w:hAnsi="Times New Roman" w:eastAsia="黑体" w:cs="黑体"/>
          <w:b/>
          <w:bCs/>
          <w:kern w:val="21"/>
        </w:rPr>
        <w:t xml:space="preserve">8.2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平台架构与功能</w:t>
      </w:r>
      <w:bookmarkEnd w:id="85"/>
    </w:p>
    <w:p w14:paraId="7DC942C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8.2.1 平台宜采用分层架构，各层功能应符合表</w:t>
      </w:r>
      <w:r>
        <w:rPr>
          <w:rFonts w:hint="eastAsia" w:ascii="Times New Roman" w:hAnsi="Times New Roman"/>
          <w:szCs w:val="24"/>
          <w:lang w:val="en-US" w:eastAsia="zh-CN"/>
        </w:rPr>
        <w:t>3</w:t>
      </w:r>
      <w:r>
        <w:rPr>
          <w:rFonts w:hint="eastAsia" w:ascii="Times New Roman" w:hAnsi="Times New Roman"/>
          <w:szCs w:val="24"/>
        </w:rPr>
        <w:t>的规定</w:t>
      </w:r>
    </w:p>
    <w:tbl>
      <w:tblPr>
        <w:tblStyle w:val="30"/>
        <w:tblW w:w="90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54"/>
        <w:gridCol w:w="7702"/>
      </w:tblGrid>
      <w:tr w14:paraId="15119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40" w:hRule="atLeast"/>
          <w:jc w:val="center"/>
        </w:trPr>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C24F7">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层级</w:t>
            </w:r>
          </w:p>
        </w:tc>
        <w:tc>
          <w:tcPr>
            <w:tcW w:w="7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057E9">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功能要求</w:t>
            </w:r>
          </w:p>
        </w:tc>
      </w:tr>
      <w:tr w14:paraId="7EA7B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7EA5">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基础设施层</w:t>
            </w:r>
          </w:p>
        </w:tc>
        <w:tc>
          <w:tcPr>
            <w:tcW w:w="7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37D66">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提供计算、存储、网络等基础资源支撑，宜采用云计算技术以增强弹性，其安全要求应符合GB/T 22239的规定。</w:t>
            </w:r>
          </w:p>
        </w:tc>
      </w:tr>
      <w:tr w14:paraId="4C858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B60BE">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数据层</w:t>
            </w:r>
          </w:p>
        </w:tc>
        <w:tc>
          <w:tcPr>
            <w:tcW w:w="7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B7A7C">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构建统一的中心数据库或数据湖，对多源异构数据进行集中存储、处理和管理。</w:t>
            </w:r>
          </w:p>
        </w:tc>
      </w:tr>
      <w:tr w14:paraId="34917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27499">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平台服务层</w:t>
            </w:r>
          </w:p>
        </w:tc>
        <w:tc>
          <w:tcPr>
            <w:tcW w:w="7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A6064">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提供模型服务、数据服务、分析服务、工作流引擎、用户权限管理等共性服务与能力。</w:t>
            </w:r>
          </w:p>
        </w:tc>
      </w:tr>
      <w:tr w14:paraId="4B9BF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66FBE">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应用层</w:t>
            </w:r>
          </w:p>
        </w:tc>
        <w:tc>
          <w:tcPr>
            <w:tcW w:w="7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D119C">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面向不同用户角色和业务场景，提供进度、质量、安全、成本等具体应用功能</w:t>
            </w:r>
          </w:p>
        </w:tc>
      </w:tr>
      <w:tr w14:paraId="30A4E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45FDD">
            <w:pPr>
              <w:keepNext w:val="0"/>
              <w:keepLines w:val="0"/>
              <w:pageBreakBefore w:val="0"/>
              <w:widowControl/>
              <w:suppressLineNumbers w:val="0"/>
              <w:kinsoku/>
              <w:wordWrap/>
              <w:overflowPunct/>
              <w:topLinePunct w:val="0"/>
              <w:autoSpaceDE/>
              <w:autoSpaceDN/>
              <w:bidi w:val="0"/>
              <w:adjustRightInd w:val="0"/>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交互层</w:t>
            </w:r>
          </w:p>
        </w:tc>
        <w:tc>
          <w:tcPr>
            <w:tcW w:w="7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227B">
            <w:pPr>
              <w:keepNext w:val="0"/>
              <w:keepLines w:val="0"/>
              <w:pageBreakBefore w:val="0"/>
              <w:widowControl/>
              <w:suppressLineNumbers w:val="0"/>
              <w:kinsoku/>
              <w:wordWrap/>
              <w:overflowPunct/>
              <w:topLinePunct w:val="0"/>
              <w:autoSpaceDE/>
              <w:autoSpaceDN/>
              <w:bidi w:val="0"/>
              <w:adjustRightInd w:val="0"/>
              <w:snapToGrid/>
              <w:spacing w:line="240" w:lineRule="auto"/>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为Web端、移动端、大屏等提供人机交互界面</w:t>
            </w:r>
          </w:p>
        </w:tc>
      </w:tr>
    </w:tbl>
    <w:p w14:paraId="2EA93DF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8.2.2 平台应至少具备以下核心功能：</w:t>
      </w:r>
    </w:p>
    <w:p w14:paraId="47FC5CB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a) 模型集成与可视化：支持多格式模型的轻量化集成、在线浏览、剖切测量及属性查询；</w:t>
      </w:r>
    </w:p>
    <w:p w14:paraId="55861B0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b) 数据融合与管理：实现对结构化与非结构化数据的统一管理、关联分析与可视化展示；</w:t>
      </w:r>
    </w:p>
    <w:p w14:paraId="3B621BE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业务流程协同：支持在线审批、任务分发、问题协同、会议管理等协同工作流程；</w:t>
      </w:r>
    </w:p>
    <w:p w14:paraId="4E19E81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决策支持：基于融合数据，提供预警提示、统计分析、模拟推演等辅助决策功能。</w:t>
      </w:r>
    </w:p>
    <w:p w14:paraId="6B140F8B">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86" w:name="_Toc16699"/>
      <w:r>
        <w:rPr>
          <w:rFonts w:hint="eastAsia" w:ascii="Times New Roman" w:hAnsi="Times New Roman" w:eastAsia="黑体" w:cs="黑体"/>
          <w:b/>
          <w:bCs/>
          <w:kern w:val="21"/>
        </w:rPr>
        <w:t xml:space="preserve">8.3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数据集成与接口</w:t>
      </w:r>
      <w:bookmarkEnd w:id="86"/>
    </w:p>
    <w:p w14:paraId="7178D5C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8.3.1 应制定统一的数据集成标准与策略，明确数据源、更新频率、责任方和质量要求。</w:t>
      </w:r>
    </w:p>
    <w:p w14:paraId="149F251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8.3.2 各专业系统（如BIM建模软件、进度管理、智慧工地物联网系统、监测系统、项目管理系统等）应通过应用程序编程接口（API）、数据中间件或ETL工具等方式与平台进行数据交换与集成。数据建模宜采用GB/T 28174 (UML)进行描述。</w:t>
      </w:r>
    </w:p>
    <w:p w14:paraId="1C03A98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8.3.3 数据接口应采用国际、国家或行业认可的开放标准（如RESTful API、IFC、XML、JSON等），确保互操作性和长期有效性。接口应具备良好的安全性和稳定性。</w:t>
      </w:r>
    </w:p>
    <w:p w14:paraId="6A5E727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87" w:name="_Toc1144"/>
      <w:r>
        <w:rPr>
          <w:rFonts w:hint="eastAsia" w:ascii="Times New Roman" w:hAnsi="Times New Roman" w:eastAsia="黑体" w:cs="黑体"/>
          <w:b/>
          <w:bCs/>
          <w:kern w:val="21"/>
        </w:rPr>
        <w:t xml:space="preserve">8.4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应用集成与单点登录</w:t>
      </w:r>
      <w:bookmarkEnd w:id="87"/>
    </w:p>
    <w:p w14:paraId="0687943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8.4.1 对于独立的专业应用系统，应通过应用集成技术将其功能或界面嵌入平台统一门户，为用户提供一体化的操作体验。</w:t>
      </w:r>
    </w:p>
    <w:p w14:paraId="01E8F17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8.4.2 平台宜支持单点登录（SSO）功能，用户一次登录即可访问所有被授权的集成应用系统，简化操作，提升安全性。</w:t>
      </w:r>
    </w:p>
    <w:p w14:paraId="6068D87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88" w:name="_Toc2662"/>
      <w:r>
        <w:rPr>
          <w:rFonts w:hint="eastAsia" w:ascii="Times New Roman" w:hAnsi="Times New Roman" w:eastAsia="黑体" w:cs="黑体"/>
          <w:b/>
          <w:bCs/>
          <w:kern w:val="21"/>
        </w:rPr>
        <w:t xml:space="preserve">8.5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协同工作机制</w:t>
      </w:r>
      <w:bookmarkEnd w:id="88"/>
    </w:p>
    <w:p w14:paraId="4AD1623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8.5.1 应基于平台建立跨组织、跨部门的在线协同工作流程，涵盖设计交底、方案评审、工程变更、质量验收、安全排查、进度协调等核心业务。</w:t>
      </w:r>
    </w:p>
    <w:p w14:paraId="7A8F6D9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8.5.2 所有协同过程应留有记录，实现流程可追溯、问题可闭环、责任可落实。</w:t>
      </w:r>
    </w:p>
    <w:p w14:paraId="0A16987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8.5.3 宜利用模型进行可视化协同，通过标记、评论、截图等方式，在三维语境下精准沟通技术问题。</w:t>
      </w:r>
    </w:p>
    <w:p w14:paraId="0463B4B2">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89" w:name="_Toc11989"/>
      <w:r>
        <w:rPr>
          <w:rFonts w:hint="eastAsia" w:ascii="Times New Roman" w:hAnsi="Times New Roman" w:eastAsia="黑体" w:cs="黑体"/>
          <w:b/>
          <w:bCs/>
          <w:kern w:val="21"/>
        </w:rPr>
        <w:t xml:space="preserve">8.6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运行与维护管理</w:t>
      </w:r>
      <w:bookmarkEnd w:id="89"/>
    </w:p>
    <w:p w14:paraId="1CE5241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8.6.1 应明确平台运营维护的责任主体，建立系统运行监控、故障响应、数据备份与恢复机制，保障平台7x24小时稳定可靠运行。</w:t>
      </w:r>
    </w:p>
    <w:p w14:paraId="54DE7A6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8.6.2 应定期对平台性能、数据质量、用户活跃度进行评估和优化。</w:t>
      </w:r>
    </w:p>
    <w:p w14:paraId="47689AA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8.6.3 应为各参建方提供必要的操作培训和技术支持，确保平台的有效应用。</w:t>
      </w:r>
    </w:p>
    <w:p w14:paraId="4E2FD36E">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90" w:name="_Toc28493"/>
      <w:r>
        <w:rPr>
          <w:rFonts w:hint="eastAsia" w:ascii="Times New Roman" w:hAnsi="Times New Roman" w:eastAsia="黑体" w:cs="黑体"/>
          <w:b/>
          <w:bCs/>
          <w:kern w:val="21"/>
        </w:rPr>
        <w:t xml:space="preserve">8.7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信息安全</w:t>
      </w:r>
      <w:bookmarkEnd w:id="90"/>
    </w:p>
    <w:p w14:paraId="1385E68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 xml:space="preserve">8.7.1 </w:t>
      </w:r>
      <w:r>
        <w:rPr>
          <w:rFonts w:hint="eastAsia" w:ascii="Times New Roman" w:hAnsi="Times New Roman"/>
          <w:szCs w:val="24"/>
          <w:lang w:val="en-US" w:eastAsia="zh-CN"/>
        </w:rPr>
        <w:t>应</w:t>
      </w:r>
      <w:r>
        <w:rPr>
          <w:rFonts w:hint="eastAsia" w:ascii="Times New Roman" w:hAnsi="Times New Roman"/>
          <w:szCs w:val="24"/>
        </w:rPr>
        <w:t>建立贯穿集成全过程的信息安全体系，包括网络安全、数据加密、访问控制、身份认证和操作审计。</w:t>
      </w:r>
    </w:p>
    <w:p w14:paraId="18F9485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8.7.2 应依据数据分类分级结果，实施差异化的数据保护策略，严格控制核心数据和敏感信息的访问权限。</w:t>
      </w:r>
    </w:p>
    <w:p w14:paraId="6A8115E9">
      <w:pPr>
        <w:adjustRightInd/>
        <w:spacing w:line="360" w:lineRule="auto"/>
        <w:ind w:firstLine="420" w:firstLineChars="200"/>
        <w:rPr>
          <w:rFonts w:ascii="Times New Roman" w:hAnsi="Times New Roman"/>
          <w:szCs w:val="24"/>
        </w:rPr>
      </w:pPr>
      <w:r>
        <w:rPr>
          <w:rFonts w:hint="eastAsia" w:ascii="Times New Roman" w:hAnsi="Times New Roman"/>
          <w:szCs w:val="24"/>
        </w:rPr>
        <w:t>8.7.3 所有通过接口进行的数据交换均应进行安全认证和传输加密。</w:t>
      </w:r>
    </w:p>
    <w:p w14:paraId="02A0B7B5">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91" w:name="_Toc29515"/>
      <w:r>
        <w:rPr>
          <w:rFonts w:hint="eastAsia" w:ascii="Times New Roman" w:hAnsi="Times New Roman" w:eastAsia="黑体"/>
          <w:b/>
          <w:bCs w:val="0"/>
          <w:kern w:val="44"/>
          <w:lang w:val="en-US" w:eastAsia="zh-CN"/>
        </w:rPr>
        <w:t>质量与安全控制​</w:t>
      </w:r>
      <w:bookmarkEnd w:id="91"/>
    </w:p>
    <w:p w14:paraId="02FBD6D2">
      <w:pPr>
        <w:keepNext/>
        <w:keepLines/>
        <w:tabs>
          <w:tab w:val="left" w:pos="420"/>
          <w:tab w:val="left" w:pos="540"/>
        </w:tabs>
        <w:adjustRightInd/>
        <w:spacing w:before="156" w:beforeLines="50" w:after="156" w:afterLines="50" w:line="240" w:lineRule="auto"/>
        <w:outlineLvl w:val="1"/>
        <w:rPr>
          <w:rFonts w:ascii="Times New Roman" w:hAnsi="Times New Roman" w:eastAsia="黑体" w:cs="黑体"/>
          <w:bCs/>
          <w:kern w:val="21"/>
        </w:rPr>
      </w:pPr>
      <w:bookmarkStart w:id="92" w:name="_Toc19608"/>
      <w:bookmarkStart w:id="93" w:name="_Toc27411"/>
      <w:r>
        <w:rPr>
          <w:rFonts w:hint="eastAsia" w:ascii="Times New Roman" w:hAnsi="Times New Roman" w:eastAsia="黑体" w:cs="黑体"/>
          <w:b/>
          <w:bCs w:val="0"/>
          <w:kern w:val="21"/>
        </w:rPr>
        <w:t>9.1</w:t>
      </w:r>
      <w:r>
        <w:rPr>
          <w:rFonts w:hint="eastAsia" w:ascii="Times New Roman" w:hAnsi="Times New Roman" w:eastAsia="黑体" w:cs="黑体"/>
          <w:bCs/>
          <w:kern w:val="21"/>
          <w:lang w:val="en-US" w:eastAsia="zh-CN"/>
        </w:rPr>
        <w:t xml:space="preserve">  </w:t>
      </w:r>
      <w:r>
        <w:rPr>
          <w:rFonts w:hint="eastAsia" w:ascii="Times New Roman" w:hAnsi="Times New Roman" w:eastAsia="黑体" w:cs="黑体"/>
          <w:bCs/>
          <w:kern w:val="21"/>
        </w:rPr>
        <w:t>一般规定</w:t>
      </w:r>
      <w:bookmarkEnd w:id="92"/>
      <w:bookmarkEnd w:id="93"/>
    </w:p>
    <w:p w14:paraId="6578EA27">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9</w:t>
      </w:r>
      <w:r>
        <w:rPr>
          <w:rFonts w:hint="eastAsia" w:ascii="Times New Roman" w:hAnsi="Times New Roman"/>
          <w:szCs w:val="24"/>
        </w:rPr>
        <w:t>.1.1 项目应建立与</w:t>
      </w:r>
      <w:r>
        <w:rPr>
          <w:rFonts w:hint="eastAsia"/>
          <w:lang w:eastAsia="zh-CN"/>
        </w:rPr>
        <w:t>智能数字</w:t>
      </w:r>
      <w:r>
        <w:rPr>
          <w:rFonts w:hint="eastAsia" w:ascii="Times New Roman" w:hAnsi="Times New Roman"/>
          <w:szCs w:val="24"/>
        </w:rPr>
        <w:t>施工模式相适应的数字化质量与安全管理体系，将信息模型、物联网、大数据等技术深度融入质量控制和安全管理的全过程。</w:t>
      </w:r>
    </w:p>
    <w:p w14:paraId="5C4AC48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9.1.2 质量与安全控制活动应基于统一的数字协同平台开展，实现过程在线化、数据可视化、责任可追溯、风险可预警。</w:t>
      </w:r>
    </w:p>
    <w:p w14:paraId="68EAEF8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9.1.3 应利用数字化手段，实现从“事后检查”向“过程控制”和“事前预防”的转变，提升管理效能。</w:t>
      </w:r>
    </w:p>
    <w:p w14:paraId="0D69441A">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94" w:name="_Toc15522"/>
      <w:r>
        <w:rPr>
          <w:rFonts w:hint="eastAsia" w:ascii="Times New Roman" w:hAnsi="Times New Roman" w:eastAsia="黑体" w:cs="黑体"/>
          <w:b/>
          <w:bCs w:val="0"/>
          <w:kern w:val="21"/>
        </w:rPr>
        <w:t xml:space="preserve">9.2 </w:t>
      </w:r>
      <w:r>
        <w:rPr>
          <w:rFonts w:hint="eastAsia" w:ascii="Times New Roman" w:hAnsi="Times New Roman" w:eastAsia="黑体" w:cs="黑体"/>
          <w:b w:val="0"/>
          <w:bCs/>
          <w:kern w:val="21"/>
        </w:rPr>
        <w:t>数字化质量控制</w:t>
      </w:r>
      <w:bookmarkEnd w:id="94"/>
    </w:p>
    <w:p w14:paraId="0609F97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9.2.1 质量控制策划</w:t>
      </w:r>
    </w:p>
    <w:p w14:paraId="17363C11">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9.2.1.1</w:t>
      </w:r>
      <w:r>
        <w:rPr>
          <w:rFonts w:hint="eastAsia" w:ascii="Times New Roman" w:hAnsi="Times New Roman"/>
          <w:szCs w:val="24"/>
        </w:rPr>
        <w:t xml:space="preserve"> 将施工信息模型（CIM）与检验批划分、质量验收标准、施工工艺规范进行关联，形成数字化的质量控制计划。</w:t>
      </w:r>
    </w:p>
    <w:p w14:paraId="7C89748F">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9.2.1.2</w:t>
      </w:r>
      <w:r>
        <w:rPr>
          <w:rFonts w:hint="eastAsia" w:ascii="Times New Roman" w:hAnsi="Times New Roman"/>
          <w:szCs w:val="24"/>
        </w:rPr>
        <w:t xml:space="preserve"> 应在模型中明确关键质量控制点、待检点（W点）和停工待检点（H点），并设置预警提示。</w:t>
      </w:r>
    </w:p>
    <w:p w14:paraId="3D25DD8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9.2.2 质量检查与验收</w:t>
      </w:r>
    </w:p>
    <w:p w14:paraId="3DE9C3B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9.2.2</w:t>
      </w:r>
      <w:r>
        <w:rPr>
          <w:rFonts w:hint="eastAsia" w:ascii="Times New Roman" w:hAnsi="Times New Roman"/>
          <w:szCs w:val="24"/>
          <w:lang w:val="en-US" w:eastAsia="zh-CN"/>
        </w:rPr>
        <w:t>.1</w:t>
      </w:r>
      <w:r>
        <w:rPr>
          <w:rFonts w:hint="eastAsia" w:ascii="Times New Roman" w:hAnsi="Times New Roman"/>
          <w:szCs w:val="24"/>
        </w:rPr>
        <w:t xml:space="preserve"> 质量检查、验收、评定流程应通过移动终端在线进行。检查人员应现场采集包含时间、地点、构件信息的文字、照片、视频等多媒体记录，并自动与模型构件关联。</w:t>
      </w:r>
    </w:p>
    <w:p w14:paraId="312C512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9.2.2</w:t>
      </w:r>
      <w:r>
        <w:rPr>
          <w:rFonts w:hint="eastAsia" w:ascii="Times New Roman" w:hAnsi="Times New Roman"/>
          <w:szCs w:val="24"/>
          <w:lang w:val="en-US" w:eastAsia="zh-CN"/>
        </w:rPr>
        <w:t>.2</w:t>
      </w:r>
      <w:r>
        <w:rPr>
          <w:rFonts w:hint="eastAsia" w:ascii="Times New Roman" w:hAnsi="Times New Roman"/>
          <w:szCs w:val="24"/>
        </w:rPr>
        <w:t xml:space="preserve"> 宜采用智能测量工具（如智能全站仪、激光测距仪、传感器等）进行实测实量，数据应自动采集并传输至平台，与设计模型进行比对，自动生成偏差分析报告。</w:t>
      </w:r>
    </w:p>
    <w:p w14:paraId="7A7FB9C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9.2.2</w:t>
      </w:r>
      <w:r>
        <w:rPr>
          <w:rFonts w:hint="eastAsia" w:ascii="Times New Roman" w:hAnsi="Times New Roman"/>
          <w:szCs w:val="24"/>
          <w:lang w:val="en-US" w:eastAsia="zh-CN"/>
        </w:rPr>
        <w:t>.3</w:t>
      </w:r>
      <w:r>
        <w:rPr>
          <w:rFonts w:hint="eastAsia" w:ascii="Times New Roman" w:hAnsi="Times New Roman"/>
          <w:szCs w:val="24"/>
        </w:rPr>
        <w:t xml:space="preserve"> 对发现的质量问题，应通过平台发起整改流程，明确责任方、整改措施和时限，并跟踪整改闭环情况。</w:t>
      </w:r>
    </w:p>
    <w:p w14:paraId="1E4E4C2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9.2.3 材料与试验管理</w:t>
      </w:r>
    </w:p>
    <w:p w14:paraId="3C10570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9.2.3</w:t>
      </w:r>
      <w:r>
        <w:rPr>
          <w:rFonts w:hint="eastAsia" w:ascii="Times New Roman" w:hAnsi="Times New Roman"/>
          <w:szCs w:val="24"/>
          <w:lang w:val="en-US" w:eastAsia="zh-CN"/>
        </w:rPr>
        <w:t>.1</w:t>
      </w:r>
      <w:r>
        <w:rPr>
          <w:rFonts w:hint="eastAsia" w:ascii="Times New Roman" w:hAnsi="Times New Roman"/>
          <w:szCs w:val="24"/>
        </w:rPr>
        <w:t xml:space="preserve"> 应对进场材料、构配件的质量证明文件进行数字化管理，宜利用物联网技术（如RFID、二维码）进行溯源追踪。</w:t>
      </w:r>
    </w:p>
    <w:p w14:paraId="2F471AD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9.2.3</w:t>
      </w:r>
      <w:r>
        <w:rPr>
          <w:rFonts w:hint="eastAsia" w:ascii="Times New Roman" w:hAnsi="Times New Roman"/>
          <w:szCs w:val="24"/>
          <w:lang w:val="en-US" w:eastAsia="zh-CN"/>
        </w:rPr>
        <w:t>.2</w:t>
      </w:r>
      <w:r>
        <w:rPr>
          <w:rFonts w:hint="eastAsia" w:ascii="Times New Roman" w:hAnsi="Times New Roman"/>
          <w:szCs w:val="24"/>
        </w:rPr>
        <w:t xml:space="preserve"> 试验检测（如混凝土试块、钢筋原材）的委托、取样、送检、报告获取等流程宜在线完成，试验结果数据应与相关模型构件或施工部位关联。</w:t>
      </w:r>
    </w:p>
    <w:p w14:paraId="111E538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9.2.4 质量分析与改进</w:t>
      </w:r>
    </w:p>
    <w:p w14:paraId="1067B51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9.2.4</w:t>
      </w:r>
      <w:r>
        <w:rPr>
          <w:rFonts w:hint="eastAsia" w:ascii="Times New Roman" w:hAnsi="Times New Roman"/>
          <w:szCs w:val="24"/>
          <w:lang w:val="en-US" w:eastAsia="zh-CN"/>
        </w:rPr>
        <w:t>.1</w:t>
      </w:r>
      <w:r>
        <w:rPr>
          <w:rFonts w:hint="eastAsia" w:ascii="Times New Roman" w:hAnsi="Times New Roman"/>
          <w:szCs w:val="24"/>
        </w:rPr>
        <w:t xml:space="preserve"> 平台应自动汇聚质量检查、验收、试验等数据，进行多维度统计分析和趋势研判，生成质量报表。</w:t>
      </w:r>
    </w:p>
    <w:p w14:paraId="21A23B1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9.2.4</w:t>
      </w:r>
      <w:r>
        <w:rPr>
          <w:rFonts w:hint="eastAsia" w:ascii="Times New Roman" w:hAnsi="Times New Roman"/>
          <w:szCs w:val="24"/>
          <w:lang w:val="en-US" w:eastAsia="zh-CN"/>
        </w:rPr>
        <w:t>.2</w:t>
      </w:r>
      <w:r>
        <w:rPr>
          <w:rFonts w:hint="eastAsia" w:ascii="Times New Roman" w:hAnsi="Times New Roman"/>
          <w:szCs w:val="24"/>
        </w:rPr>
        <w:t xml:space="preserve"> 应对频发、共性的质量问题进行分析预警，为质量改进提供数据支撑。</w:t>
      </w:r>
    </w:p>
    <w:p w14:paraId="17A3F476">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95" w:name="_Toc4273"/>
      <w:r>
        <w:rPr>
          <w:rFonts w:hint="eastAsia" w:ascii="Times New Roman" w:hAnsi="Times New Roman" w:eastAsia="黑体" w:cs="黑体"/>
          <w:b/>
          <w:bCs w:val="0"/>
          <w:kern w:val="21"/>
        </w:rPr>
        <w:t xml:space="preserve">9.3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数字化安全控制</w:t>
      </w:r>
      <w:bookmarkEnd w:id="95"/>
    </w:p>
    <w:p w14:paraId="1FA59F7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9.3.1 安全风险辨识与策划</w:t>
      </w:r>
    </w:p>
    <w:p w14:paraId="29C96C3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9.3.1</w:t>
      </w:r>
      <w:r>
        <w:rPr>
          <w:rFonts w:hint="eastAsia" w:ascii="Times New Roman" w:hAnsi="Times New Roman"/>
          <w:szCs w:val="24"/>
          <w:lang w:val="en-US" w:eastAsia="zh-CN"/>
        </w:rPr>
        <w:t>.1</w:t>
      </w:r>
      <w:r>
        <w:rPr>
          <w:rFonts w:hint="eastAsia" w:ascii="Times New Roman" w:hAnsi="Times New Roman"/>
          <w:szCs w:val="24"/>
        </w:rPr>
        <w:t xml:space="preserve"> 应基于施工信息模型进行危险源动态辨识与风险评估，并在模型中对重大危险源进行可视化标注，生成安全风险空间分布图。</w:t>
      </w:r>
    </w:p>
    <w:p w14:paraId="651ADEF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9.3.1</w:t>
      </w:r>
      <w:r>
        <w:rPr>
          <w:rFonts w:hint="eastAsia" w:ascii="Times New Roman" w:hAnsi="Times New Roman"/>
          <w:szCs w:val="24"/>
          <w:lang w:val="en-US" w:eastAsia="zh-CN"/>
        </w:rPr>
        <w:t>.2</w:t>
      </w:r>
      <w:r>
        <w:rPr>
          <w:rFonts w:hint="eastAsia" w:ascii="Times New Roman" w:hAnsi="Times New Roman"/>
          <w:szCs w:val="24"/>
        </w:rPr>
        <w:t xml:space="preserve"> 专项安全技术措施、应急预案宜与模型关联，并进行可视化模拟和交底。</w:t>
      </w:r>
    </w:p>
    <w:p w14:paraId="17B8C4E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9.3.2 安全监测与预警​​</w:t>
      </w:r>
    </w:p>
    <w:p w14:paraId="6109D25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9.3.2</w:t>
      </w:r>
      <w:r>
        <w:rPr>
          <w:rFonts w:hint="eastAsia" w:ascii="Times New Roman" w:hAnsi="Times New Roman"/>
          <w:szCs w:val="24"/>
          <w:lang w:val="en-US" w:eastAsia="zh-CN"/>
        </w:rPr>
        <w:t>.1</w:t>
      </w:r>
      <w:r>
        <w:rPr>
          <w:rFonts w:hint="eastAsia" w:ascii="Times New Roman" w:hAnsi="Times New Roman"/>
          <w:szCs w:val="24"/>
        </w:rPr>
        <w:t xml:space="preserve"> 应对深基坑、高边坡、大型脚手架、隧洞等重大危险源工程，采用传感器技术进行实时监测（如位移、沉降、应力、变形），数据超限时自动预警。</w:t>
      </w:r>
    </w:p>
    <w:p w14:paraId="1E4EF49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9.3.2</w:t>
      </w:r>
      <w:r>
        <w:rPr>
          <w:rFonts w:hint="eastAsia" w:ascii="Times New Roman" w:hAnsi="Times New Roman"/>
          <w:szCs w:val="24"/>
          <w:lang w:val="en-US" w:eastAsia="zh-CN"/>
        </w:rPr>
        <w:t>.2</w:t>
      </w:r>
      <w:r>
        <w:rPr>
          <w:rFonts w:hint="eastAsia" w:ascii="Times New Roman" w:hAnsi="Times New Roman"/>
          <w:szCs w:val="24"/>
        </w:rPr>
        <w:t xml:space="preserve"> 宜利用视频智能分析技术，自动识别人员不安全行为（如未佩戴安全帽、未系安全带、闯入危险区域）和物的不安全状态，并实时报警。</w:t>
      </w:r>
    </w:p>
    <w:p w14:paraId="5824DD6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9.3.2</w:t>
      </w:r>
      <w:r>
        <w:rPr>
          <w:rFonts w:hint="eastAsia" w:ascii="Times New Roman" w:hAnsi="Times New Roman"/>
          <w:szCs w:val="24"/>
          <w:lang w:val="en-US" w:eastAsia="zh-CN"/>
        </w:rPr>
        <w:t>.3</w:t>
      </w:r>
      <w:r>
        <w:rPr>
          <w:rFonts w:hint="eastAsia" w:ascii="Times New Roman" w:hAnsi="Times New Roman"/>
          <w:szCs w:val="24"/>
        </w:rPr>
        <w:t xml:space="preserve"> 宜采用物联网定位技术（如UWB、蓝牙）对进入高风险区域的人员进行监控和预警。</w:t>
      </w:r>
    </w:p>
    <w:p w14:paraId="6B4E2DF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9.3.3 安全检查与治理​​</w:t>
      </w:r>
    </w:p>
    <w:p w14:paraId="5E29F4F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9.3.3</w:t>
      </w:r>
      <w:r>
        <w:rPr>
          <w:rFonts w:hint="eastAsia" w:ascii="Times New Roman" w:hAnsi="Times New Roman"/>
          <w:szCs w:val="24"/>
          <w:lang w:val="en-US" w:eastAsia="zh-CN"/>
        </w:rPr>
        <w:t>.1</w:t>
      </w:r>
      <w:r>
        <w:rPr>
          <w:rFonts w:hint="eastAsia" w:ascii="Times New Roman" w:hAnsi="Times New Roman"/>
          <w:szCs w:val="24"/>
        </w:rPr>
        <w:t xml:space="preserve"> 日常安全巡检、专项检查、隐患排查等流程应通过移动终端完成，支持现场记录、照片上传、定位签到。发现隐患应自动推送整改通知，并跟踪治理闭环。</w:t>
      </w:r>
    </w:p>
    <w:p w14:paraId="3A0C6F7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9.3.3</w:t>
      </w:r>
      <w:r>
        <w:rPr>
          <w:rFonts w:hint="eastAsia" w:ascii="Times New Roman" w:hAnsi="Times New Roman"/>
          <w:szCs w:val="24"/>
          <w:lang w:val="en-US" w:eastAsia="zh-CN"/>
        </w:rPr>
        <w:t>.2</w:t>
      </w:r>
      <w:r>
        <w:rPr>
          <w:rFonts w:hint="eastAsia" w:ascii="Times New Roman" w:hAnsi="Times New Roman"/>
          <w:szCs w:val="24"/>
        </w:rPr>
        <w:t xml:space="preserve"> 安全隐患治理情况应进行统计分析，作为对分包单位安全考核和管理的依据。</w:t>
      </w:r>
    </w:p>
    <w:p w14:paraId="4BA0CF1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9.3.4 安全教育与应急</w:t>
      </w:r>
    </w:p>
    <w:p w14:paraId="426D8BB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9.3.4</w:t>
      </w:r>
      <w:r>
        <w:rPr>
          <w:rFonts w:hint="eastAsia" w:ascii="Times New Roman" w:hAnsi="Times New Roman"/>
          <w:szCs w:val="24"/>
          <w:lang w:val="en-US" w:eastAsia="zh-CN"/>
        </w:rPr>
        <w:t>.1</w:t>
      </w:r>
      <w:r>
        <w:rPr>
          <w:rFonts w:hint="eastAsia" w:ascii="Times New Roman" w:hAnsi="Times New Roman"/>
          <w:szCs w:val="24"/>
        </w:rPr>
        <w:t xml:space="preserve"> 宜利用VR（虚拟现实）、AR（增强现实）技术进行沉浸式安全教育和应急演练，提升培训效果。</w:t>
      </w:r>
    </w:p>
    <w:p w14:paraId="15C400B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9.3.4</w:t>
      </w:r>
      <w:r>
        <w:rPr>
          <w:rFonts w:hint="eastAsia" w:ascii="Times New Roman" w:hAnsi="Times New Roman"/>
          <w:szCs w:val="24"/>
          <w:lang w:val="en-US" w:eastAsia="zh-CN"/>
        </w:rPr>
        <w:t>.2</w:t>
      </w:r>
      <w:r>
        <w:rPr>
          <w:rFonts w:hint="eastAsia" w:ascii="Times New Roman" w:hAnsi="Times New Roman"/>
          <w:szCs w:val="24"/>
        </w:rPr>
        <w:t xml:space="preserve"> 安全交底内容应与模型关联，实现可视化、可追溯。</w:t>
      </w:r>
    </w:p>
    <w:p w14:paraId="695E1640">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96" w:name="_Toc8189"/>
      <w:r>
        <w:rPr>
          <w:rFonts w:hint="eastAsia" w:ascii="Times New Roman" w:hAnsi="Times New Roman" w:eastAsia="黑体" w:cs="黑体"/>
          <w:b/>
          <w:bCs w:val="0"/>
          <w:kern w:val="21"/>
        </w:rPr>
        <w:t xml:space="preserve">9.4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协同与联动</w:t>
      </w:r>
      <w:bookmarkEnd w:id="96"/>
    </w:p>
    <w:p w14:paraId="5948ADC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9.4.1 质量与安全控制信息应在相关参建方之间按权限实时共享，促进协同管理。</w:t>
      </w:r>
    </w:p>
    <w:p w14:paraId="4A0DA7D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9.4.2 宜建立质量与安全联动机制，将重大质量缺陷可能引发的安全风险同步推送至安全管理部门。</w:t>
      </w:r>
    </w:p>
    <w:p w14:paraId="005BFE16">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val="0"/>
          <w:bCs/>
          <w:kern w:val="21"/>
        </w:rPr>
      </w:pPr>
      <w:bookmarkStart w:id="97" w:name="_Toc24226"/>
      <w:r>
        <w:rPr>
          <w:rFonts w:hint="eastAsia" w:ascii="Times New Roman" w:hAnsi="Times New Roman" w:eastAsia="黑体" w:cs="黑体"/>
          <w:b/>
          <w:bCs w:val="0"/>
          <w:kern w:val="21"/>
        </w:rPr>
        <w:t xml:space="preserve">9.5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档案管理</w:t>
      </w:r>
      <w:bookmarkEnd w:id="97"/>
    </w:p>
    <w:p w14:paraId="18374841">
      <w:pPr>
        <w:adjustRightInd/>
        <w:spacing w:line="360" w:lineRule="auto"/>
        <w:ind w:firstLine="420" w:firstLineChars="200"/>
        <w:rPr>
          <w:rFonts w:hint="eastAsia" w:ascii="Times New Roman" w:hAnsi="Times New Roman"/>
          <w:szCs w:val="24"/>
        </w:rPr>
      </w:pPr>
      <w:r>
        <w:rPr>
          <w:rFonts w:hint="eastAsia" w:ascii="Times New Roman" w:hAnsi="Times New Roman"/>
          <w:b w:val="0"/>
          <w:bCs/>
          <w:szCs w:val="24"/>
        </w:rPr>
        <w:t>9.5.1 所有数</w:t>
      </w:r>
      <w:r>
        <w:rPr>
          <w:rFonts w:hint="eastAsia" w:ascii="Times New Roman" w:hAnsi="Times New Roman"/>
          <w:szCs w:val="24"/>
        </w:rPr>
        <w:t>字化质量与安全控制过程形成的记录、数据、报告均应作为电子档案的一部分，按照本标准第10章的要求进行整理与归档。</w:t>
      </w:r>
    </w:p>
    <w:p w14:paraId="6C3974F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9.5.2 归档的电子档案应能真实、完整地反映质量与安全管理的全过程。</w:t>
      </w:r>
    </w:p>
    <w:p w14:paraId="00FCAB00">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98" w:name="_Toc28738"/>
      <w:r>
        <w:rPr>
          <w:rFonts w:hint="eastAsia" w:ascii="Times New Roman" w:hAnsi="Times New Roman" w:eastAsia="黑体"/>
          <w:b/>
          <w:bCs w:val="0"/>
          <w:kern w:val="44"/>
          <w:lang w:val="en-US" w:eastAsia="zh-CN"/>
        </w:rPr>
        <w:t>验收与归档</w:t>
      </w:r>
      <w:bookmarkEnd w:id="98"/>
    </w:p>
    <w:p w14:paraId="009A1307">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99" w:name="_Toc22822"/>
      <w:r>
        <w:rPr>
          <w:rFonts w:hint="eastAsia" w:ascii="Times New Roman" w:hAnsi="Times New Roman" w:eastAsia="黑体" w:cs="黑体"/>
          <w:b/>
          <w:bCs w:val="0"/>
          <w:kern w:val="21"/>
        </w:rPr>
        <w:t xml:space="preserve">10.1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数字成果验收</w:t>
      </w:r>
      <w:bookmarkEnd w:id="99"/>
    </w:p>
    <w:p w14:paraId="3BE69BD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10.1.1 在工程实体验收的同时，应对数字模型、数据库、分析报告等数字成果进行验收。</w:t>
      </w:r>
    </w:p>
    <w:p w14:paraId="27E8E33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10.1.2 数字成果应完整、准确反映竣工工程的实际情况。</w:t>
      </w:r>
    </w:p>
    <w:p w14:paraId="022FAD6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10.1.3 验收内容应包括数据的完整性、准确性、一致性以及模型的合规性</w:t>
      </w:r>
      <w:r>
        <w:rPr>
          <w:rFonts w:hint="eastAsia" w:ascii="Times New Roman" w:hAnsi="Times New Roman"/>
          <w:szCs w:val="24"/>
          <w:lang w:eastAsia="zh-CN"/>
        </w:rPr>
        <w:t>，数据的准确性应依据SL/T 223、SL</w:t>
      </w:r>
      <w:r>
        <w:rPr>
          <w:rFonts w:hint="eastAsia" w:ascii="Times New Roman" w:hAnsi="Times New Roman"/>
          <w:szCs w:val="24"/>
          <w:lang w:val="en-US" w:eastAsia="zh-CN"/>
        </w:rPr>
        <w:t>/L</w:t>
      </w:r>
      <w:r>
        <w:rPr>
          <w:rFonts w:hint="eastAsia" w:ascii="Times New Roman" w:hAnsi="Times New Roman"/>
          <w:szCs w:val="24"/>
          <w:lang w:eastAsia="zh-CN"/>
        </w:rPr>
        <w:t xml:space="preserve"> 52等标准中规定的允许偏差进行核验。</w:t>
      </w:r>
    </w:p>
    <w:p w14:paraId="4631D905">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100" w:name="_Toc29152"/>
      <w:r>
        <w:rPr>
          <w:rFonts w:hint="eastAsia" w:ascii="Times New Roman" w:hAnsi="Times New Roman" w:eastAsia="黑体" w:cs="黑体"/>
          <w:b/>
          <w:bCs w:val="0"/>
          <w:kern w:val="21"/>
        </w:rPr>
        <w:t xml:space="preserve">10.2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归档</w:t>
      </w:r>
      <w:bookmarkEnd w:id="100"/>
    </w:p>
    <w:p w14:paraId="2DA22D7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10.2.1 竣工数字成果应按照有关规定和合同要求进行整理和归档。</w:t>
      </w:r>
    </w:p>
    <w:p w14:paraId="3D2C069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10.2.2 归档范围应包括最终版的信息模型、竣工图纸、过程文档、重要管理数据、验收文件等。</w:t>
      </w:r>
    </w:p>
    <w:p w14:paraId="42A5638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10.2.3 归档的数字成果格式应满足长期保存和后续运维阶段利用的要求。电子文件归档应符合GB/T 18894的规定。</w:t>
      </w:r>
    </w:p>
    <w:p w14:paraId="41B3F42C">
      <w:pPr>
        <w:pStyle w:val="110"/>
        <w:numPr>
          <w:ilvl w:val="2"/>
          <w:numId w:val="0"/>
        </w:numPr>
        <w:spacing w:before="120" w:after="120"/>
        <w:jc w:val="center"/>
        <w:rPr>
          <w:color w:val="000000"/>
          <w14:scene3d>
            <w14:lightRig w14:rig="threePt" w14:dir="t">
              <w14:rot w14:lat="0" w14:lon="0" w14:rev="0"/>
            </w14:lightRig>
          </w14:scene3d>
        </w:rPr>
      </w:pPr>
      <w:bookmarkStart w:id="101" w:name="_Toc26480"/>
      <w:r>
        <w:rPr>
          <w:color w:val="000000"/>
        </w:rPr>
        <w:drawing>
          <wp:inline distT="0" distB="0" distL="0" distR="0">
            <wp:extent cx="1485900" cy="317500"/>
            <wp:effectExtent l="0" t="0" r="0" b="6350"/>
            <wp:docPr id="1871296992" name="图片 1"/>
            <wp:cNvGraphicFramePr/>
            <a:graphic xmlns:a="http://schemas.openxmlformats.org/drawingml/2006/main">
              <a:graphicData uri="http://schemas.openxmlformats.org/drawingml/2006/picture">
                <pic:pic xmlns:pic="http://schemas.openxmlformats.org/drawingml/2006/picture">
                  <pic:nvPicPr>
                    <pic:cNvPr id="1871296992" name="图片 1"/>
                    <pic:cNvPicPr/>
                  </pic:nvPicPr>
                  <pic:blipFill>
                    <a:blip r:embed="rId26">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26"/>
      <w:bookmarkEnd w:id="27"/>
      <w:bookmarkEnd w:id="101"/>
    </w:p>
    <w:sectPr>
      <w:headerReference r:id="rId22" w:type="first"/>
      <w:headerReference r:id="rId20" w:type="default"/>
      <w:footerReference r:id="rId23" w:type="default"/>
      <w:headerReference r:id="rId21" w:type="even"/>
      <w:footerReference r:id="rId24" w:type="even"/>
      <w:pgSz w:w="11906" w:h="16838"/>
      <w:pgMar w:top="1928" w:right="1134" w:bottom="1134" w:left="1134" w:header="1418" w:footer="1134" w:gutter="284"/>
      <w:pgNumType w:start="1"/>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6AFEC">
    <w:pPr>
      <w:pStyle w:val="19"/>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A63A">
    <w:pPr>
      <w:pStyle w:val="19"/>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2D905">
    <w:pPr>
      <w:pStyle w:val="57"/>
    </w:pPr>
    <w:r>
      <w:fldChar w:fldCharType="begin"/>
    </w:r>
    <w:r>
      <w:instrText xml:space="preserve">PAGE   \* MERGEFORMAT</w:instrText>
    </w:r>
    <w:r>
      <w:fldChar w:fldCharType="separate"/>
    </w:r>
    <w:r>
      <w:rPr>
        <w:lang w:val="zh-CN"/>
      </w:rPr>
      <w:t>I</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D3EC8">
    <w:pPr>
      <w:pStyle w:val="56"/>
    </w:pPr>
    <w:r>
      <w:fldChar w:fldCharType="begin"/>
    </w:r>
    <w:r>
      <w:instrText xml:space="preserve"> PAGE   \* MERGEFORMAT \* MERGEFORMAT </w:instrText>
    </w:r>
    <w:r>
      <w:fldChar w:fldCharType="separate"/>
    </w:r>
    <w:r>
      <w:t>II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82671">
    <w:pPr>
      <w:pStyle w:val="57"/>
    </w:pPr>
    <w:r>
      <w:fldChar w:fldCharType="begin"/>
    </w:r>
    <w:r>
      <w:instrText xml:space="preserve">PAGE   \* MERGEFORMAT</w:instrText>
    </w:r>
    <w:r>
      <w:fldChar w:fldCharType="separate"/>
    </w:r>
    <w:r>
      <w:rPr>
        <w:lang w:val="zh-CN"/>
      </w:rPr>
      <w:t>13</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A4BCA">
    <w:pPr>
      <w:pStyle w:val="56"/>
    </w:pPr>
    <w:r>
      <w:fldChar w:fldCharType="begin"/>
    </w:r>
    <w:r>
      <w:instrText xml:space="preserve"> PAGE   \* MERGEFORMAT \* MERGEFORMAT </w:instrText>
    </w:r>
    <w:r>
      <w:fldChar w:fldCharType="separate"/>
    </w:r>
    <w:r>
      <w:t>14</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77730">
    <w:pPr>
      <w:pStyle w:val="57"/>
    </w:pPr>
    <w:r>
      <w:fldChar w:fldCharType="begin"/>
    </w:r>
    <w:r>
      <w:instrText xml:space="preserve">PAGE   \* MERGEFORMAT</w:instrText>
    </w:r>
    <w:r>
      <w:fldChar w:fldCharType="separate"/>
    </w:r>
    <w:r>
      <w:rPr>
        <w:lang w:val="zh-CN"/>
      </w:rPr>
      <w:t>3</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83970">
    <w:pPr>
      <w:pStyle w:val="56"/>
    </w:pPr>
    <w:r>
      <w:fldChar w:fldCharType="begin"/>
    </w:r>
    <w:r>
      <w:instrText xml:space="preserve"> PAGE   \* MERGEFORMAT \* MERGEFORMAT </w:instrText>
    </w:r>
    <w:r>
      <w:fldChar w:fldCharType="separate"/>
    </w:r>
    <w: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FB40B">
    <w:pPr>
      <w:pStyle w:val="20"/>
      <w:wordWrap w:val="0"/>
      <w:jc w:val="right"/>
      <w:rPr>
        <w:rFonts w:ascii="黑体" w:hAnsi="黑体" w:eastAsia="黑体"/>
      </w:rPr>
    </w:pPr>
    <w:r>
      <w:pict>
        <v:shape id="PowerPlusWaterMarkObject850688767" o:spid="_x0000_s2051" o:spt="136" type="#_x0000_t136" style="position:absolute;left:0pt;height:131.85pt;width:527.55pt;mso-position-horizontal:center;mso-position-horizontal-relative:margin;mso-position-vertical:center;mso-position-vertical-relative:margin;rotation:20643840f;z-index:-251654144;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D5129">
    <w:pPr>
      <w:pStyle w:val="20"/>
    </w:pPr>
    <w:r>
      <w:pict>
        <v:shape id="PowerPlusWaterMarkObject850688766" o:spid="_x0000_s2050" o:spt="136" type="#_x0000_t136" style="position:absolute;left:0pt;height:131.85pt;width:527.55pt;mso-position-horizontal:center;mso-position-horizontal-relative:margin;mso-position-vertical:center;mso-position-vertical-relative:margin;rotation:20643840f;z-index:-251655168;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D9E2B">
    <w:pPr>
      <w:pStyle w:val="20"/>
      <w:jc w:val="both"/>
      <w:rPr>
        <w:sz w:val="2"/>
        <w:szCs w:val="2"/>
      </w:rPr>
    </w:pPr>
    <w:r>
      <w:pict>
        <v:shape id="PowerPlusWaterMarkObject850688765" o:spid="_x0000_s2049" o:spt="136" type="#_x0000_t136" style="position:absolute;left:0pt;height:131.85pt;width:527.55pt;mso-position-horizontal:center;mso-position-horizontal-relative:margin;mso-position-vertical:center;mso-position-vertical-relative:margin;rotation:20643840f;z-index:-251657216;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7701F">
    <w:pPr>
      <w:pStyle w:val="66"/>
    </w:pPr>
    <w:r>
      <w:pict>
        <v:shape id="PowerPlusWaterMarkObject850688770" o:spid="_x0000_s2054" o:spt="136" type="#_x0000_t136" style="position:absolute;left:0pt;height:131.85pt;width:527.55pt;mso-position-horizontal:center;mso-position-horizontal-relative:margin;mso-position-vertical:center;mso-position-vertical-relative:margin;rotation:20643840f;z-index:-251651072;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163C0">
    <w:pPr>
      <w:pStyle w:val="67"/>
    </w:pPr>
    <w:r>
      <w:pict>
        <v:shape id="PowerPlusWaterMarkObject850688769" o:spid="_x0000_s2053" o:spt="136" type="#_x0000_t136" style="position:absolute;left:0pt;height:131.85pt;width:527.55pt;mso-position-horizontal:center;mso-position-horizontal-relative:margin;mso-position-vertical:center;mso-position-vertical-relative:margin;rotation:20643840f;z-index:-251652096;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90C72">
    <w:pPr>
      <w:pStyle w:val="20"/>
    </w:pPr>
    <w:r>
      <w:pict>
        <v:shape id="PowerPlusWaterMarkObject850688768" o:spid="_x0000_s2052" o:spt="136" type="#_x0000_t136" style="position:absolute;left:0pt;height:131.85pt;width:527.55pt;mso-position-horizontal:center;mso-position-horizontal-relative:margin;mso-position-vertical:center;mso-position-vertical-relative:margin;rotation:20643840f;z-index:-251653120;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80AC1">
    <w:pPr>
      <w:pStyle w:val="66"/>
    </w:pPr>
    <w:r>
      <w:pict>
        <v:shape id="PowerPlusWaterMarkObject850688773" o:spid="_x0000_s2057" o:spt="136" type="#_x0000_t136" style="position:absolute;left:0pt;height:131.85pt;width:527.55pt;mso-position-horizontal:center;mso-position-horizontal-relative:margin;mso-position-vertical:center;mso-position-vertical-relative:margin;rotation:20643840f;z-index:-251648000;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79734">
    <w:pPr>
      <w:pStyle w:val="67"/>
    </w:pPr>
    <w:r>
      <w:pict>
        <v:shape id="PowerPlusWaterMarkObject850688772" o:spid="_x0000_s2056" o:spt="136" type="#_x0000_t136" style="position:absolute;left:0pt;height:131.85pt;width:527.55pt;mso-position-horizontal:center;mso-position-horizontal-relative:margin;mso-position-vertical:center;mso-position-vertical-relative:margin;rotation:20643840f;z-index:-251649024;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66CA8">
    <w:pPr>
      <w:pStyle w:val="20"/>
    </w:pPr>
    <w:r>
      <w:pict>
        <v:shape id="PowerPlusWaterMarkObject850688771" o:spid="_x0000_s2055" o:spt="136" type="#_x0000_t136" style="position:absolute;left:0pt;height:131.85pt;width:527.55pt;mso-position-horizontal:center;mso-position-horizontal-relative:margin;mso-position-vertical:center;mso-position-vertical-relative:margin;rotation:20643840f;z-index:-251650048;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201C6">
    <w:pPr>
      <w:pStyle w:val="66"/>
    </w:pPr>
    <w:r>
      <w:pict>
        <v:shape id="PowerPlusWaterMarkObject850688776" o:spid="_x0000_s2060" o:spt="136" type="#_x0000_t136" style="position:absolute;left:0pt;height:131.85pt;width:527.55pt;mso-position-horizontal:center;mso-position-horizontal-relative:margin;mso-position-vertical:center;mso-position-vertical-relative:margin;rotation:20643840f;z-index:-251644928;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87CEC">
    <w:pPr>
      <w:pStyle w:val="67"/>
    </w:pPr>
    <w:r>
      <w:pict>
        <v:shape id="PowerPlusWaterMarkObject850688775" o:spid="_x0000_s2059" o:spt="136" type="#_x0000_t136" style="position:absolute;left:0pt;height:131.85pt;width:527.55pt;mso-position-horizontal:center;mso-position-horizontal-relative:margin;mso-position-vertical:center;mso-position-vertical-relative:margin;rotation:20643840f;z-index:-251645952;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43D3F">
    <w:pPr>
      <w:pStyle w:val="20"/>
    </w:pPr>
    <w:r>
      <w:pict>
        <v:shape id="PowerPlusWaterMarkObject850688774" o:spid="_x0000_s2058" o:spt="136" type="#_x0000_t136" style="position:absolute;left:0pt;height:131.85pt;width:527.55pt;mso-position-horizontal:center;mso-position-horizontal-relative:margin;mso-position-vertical:center;mso-position-vertical-relative:margin;rotation:20643840f;z-index:-251646976;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9"/>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4"/>
      <w:suff w:val="nothing"/>
      <w:lvlText w:val="%1%2.%3　"/>
      <w:lvlJc w:val="left"/>
      <w:pPr>
        <w:ind w:left="0" w:firstLine="0"/>
      </w:pPr>
    </w:lvl>
    <w:lvl w:ilvl="3" w:tentative="0">
      <w:start w:val="1"/>
      <w:numFmt w:val="decimal"/>
      <w:pStyle w:val="123"/>
      <w:suff w:val="nothing"/>
      <w:lvlText w:val="%1%2.%3.%4　"/>
      <w:lvlJc w:val="left"/>
      <w:pPr>
        <w:ind w:left="0" w:firstLine="0"/>
      </w:pPr>
    </w:lvl>
    <w:lvl w:ilvl="4" w:tentative="0">
      <w:start w:val="1"/>
      <w:numFmt w:val="decimal"/>
      <w:pStyle w:val="158"/>
      <w:suff w:val="nothing"/>
      <w:lvlText w:val="%1%2.%3.%4.%5　"/>
      <w:lvlJc w:val="left"/>
      <w:pPr>
        <w:ind w:left="0" w:firstLine="0"/>
      </w:pPr>
    </w:lvl>
    <w:lvl w:ilvl="5" w:tentative="0">
      <w:start w:val="1"/>
      <w:numFmt w:val="decimal"/>
      <w:pStyle w:val="160"/>
      <w:suff w:val="nothing"/>
      <w:lvlText w:val="%1%2.%3.%4.%5.%6　"/>
      <w:lvlJc w:val="left"/>
      <w:pPr>
        <w:ind w:left="0" w:firstLine="0"/>
      </w:pPr>
    </w:lvl>
    <w:lvl w:ilvl="6" w:tentative="0">
      <w:start w:val="1"/>
      <w:numFmt w:val="decimal"/>
      <w:pStyle w:val="163"/>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5"/>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94"/>
      <w:lvlText w:val="%1"/>
      <w:lvlJc w:val="left"/>
      <w:pPr>
        <w:ind w:left="425" w:hanging="425"/>
      </w:pPr>
      <w:rPr>
        <w:rFonts w:hint="eastAsia"/>
      </w:rPr>
    </w:lvl>
    <w:lvl w:ilvl="1" w:tentative="0">
      <w:start w:val="1"/>
      <w:numFmt w:val="decimal"/>
      <w:pStyle w:val="205"/>
      <w:suff w:val="nothing"/>
      <w:lvlText w:val="%10.%2 "/>
      <w:lvlJc w:val="left"/>
      <w:pPr>
        <w:ind w:left="0" w:firstLine="0"/>
      </w:pPr>
      <w:rPr>
        <w:rFonts w:hint="eastAsia" w:ascii="黑体" w:eastAsia="黑体" w:hAnsiTheme="minorHAnsi"/>
        <w:b w:val="0"/>
        <w:i w:val="0"/>
        <w:sz w:val="21"/>
      </w:rPr>
    </w:lvl>
    <w:lvl w:ilvl="2" w:tentative="0">
      <w:start w:val="1"/>
      <w:numFmt w:val="decimal"/>
      <w:pStyle w:val="206"/>
      <w:suff w:val="nothing"/>
      <w:lvlText w:val="%10.%2.%3 "/>
      <w:lvlJc w:val="left"/>
      <w:pPr>
        <w:ind w:left="0" w:firstLine="0"/>
      </w:pPr>
      <w:rPr>
        <w:rFonts w:hint="eastAsia" w:ascii="黑体" w:eastAsia="黑体" w:hAnsiTheme="minorHAnsi"/>
        <w:b w:val="0"/>
        <w:i w:val="0"/>
        <w:sz w:val="21"/>
      </w:rPr>
    </w:lvl>
    <w:lvl w:ilvl="3" w:tentative="0">
      <w:start w:val="1"/>
      <w:numFmt w:val="decimal"/>
      <w:pStyle w:val="207"/>
      <w:suff w:val="nothing"/>
      <w:lvlText w:val="%10.%2.%3.%4 "/>
      <w:lvlJc w:val="left"/>
      <w:pPr>
        <w:ind w:left="0" w:firstLine="0"/>
      </w:pPr>
      <w:rPr>
        <w:rFonts w:hint="eastAsia" w:ascii="黑体" w:eastAsia="黑体" w:hAnsiTheme="minorHAnsi"/>
        <w:b w:val="0"/>
        <w:i w:val="0"/>
        <w:sz w:val="21"/>
      </w:rPr>
    </w:lvl>
    <w:lvl w:ilvl="4" w:tentative="0">
      <w:start w:val="1"/>
      <w:numFmt w:val="decimal"/>
      <w:pStyle w:val="208"/>
      <w:suff w:val="nothing"/>
      <w:lvlText w:val="%10.%2.%3.%4.%5 "/>
      <w:lvlJc w:val="left"/>
      <w:pPr>
        <w:ind w:left="0" w:firstLine="0"/>
      </w:pPr>
      <w:rPr>
        <w:rFonts w:hint="eastAsia" w:ascii="黑体" w:eastAsia="黑体" w:hAnsiTheme="minorHAnsi"/>
        <w:b w:val="0"/>
        <w:i w:val="0"/>
        <w:sz w:val="21"/>
      </w:rPr>
    </w:lvl>
    <w:lvl w:ilvl="5" w:tentative="0">
      <w:start w:val="1"/>
      <w:numFmt w:val="decimal"/>
      <w:pStyle w:val="209"/>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6"/>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72"/>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74"/>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5"/>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90"/>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7"/>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7"/>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92"/>
      <w:lvlText w:val=""/>
      <w:lvlJc w:val="left"/>
      <w:pPr>
        <w:ind w:left="851" w:hanging="431"/>
      </w:pPr>
      <w:rPr>
        <w:rFonts w:hint="default" w:ascii="Symbol" w:hAnsi="Symbol"/>
        <w:sz w:val="21"/>
      </w:rPr>
    </w:lvl>
    <w:lvl w:ilvl="2" w:tentative="0">
      <w:start w:val="1"/>
      <w:numFmt w:val="bullet"/>
      <w:pStyle w:val="177"/>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6"/>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9"/>
      <w:lvlText w:val="%1)"/>
      <w:lvlJc w:val="left"/>
      <w:pPr>
        <w:tabs>
          <w:tab w:val="left" w:pos="851"/>
        </w:tabs>
        <w:ind w:left="851" w:hanging="426"/>
      </w:pPr>
      <w:rPr>
        <w:rFonts w:hint="eastAsia" w:ascii="宋体" w:hAnsi="Times New Roman" w:eastAsia="宋体"/>
        <w:sz w:val="21"/>
      </w:rPr>
    </w:lvl>
    <w:lvl w:ilvl="1" w:tentative="0">
      <w:start w:val="1"/>
      <w:numFmt w:val="decimal"/>
      <w:pStyle w:val="114"/>
      <w:lvlText w:val="%2)"/>
      <w:lvlJc w:val="left"/>
      <w:pPr>
        <w:tabs>
          <w:tab w:val="left" w:pos="1276"/>
        </w:tabs>
        <w:ind w:left="1276" w:hanging="425"/>
      </w:pPr>
      <w:rPr>
        <w:rFonts w:hint="eastAsia" w:ascii="宋体" w:hAnsi="Times New Roman" w:eastAsia="宋体"/>
        <w:sz w:val="21"/>
      </w:rPr>
    </w:lvl>
    <w:lvl w:ilvl="2" w:tentative="0">
      <w:start w:val="1"/>
      <w:numFmt w:val="decimal"/>
      <w:pStyle w:val="122"/>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203"/>
      <w:lvlText w:val="%1"/>
      <w:lvlJc w:val="left"/>
      <w:pPr>
        <w:ind w:left="420" w:hanging="420"/>
      </w:pPr>
      <w:rPr>
        <w:rFonts w:hint="eastAsia"/>
      </w:rPr>
    </w:lvl>
    <w:lvl w:ilvl="1" w:tentative="0">
      <w:start w:val="1"/>
      <w:numFmt w:val="decimal"/>
      <w:pStyle w:val="88"/>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8"/>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C89AA8D"/>
    <w:multiLevelType w:val="multilevel"/>
    <w:tmpl w:val="4C89AA8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4E5D0534"/>
    <w:multiLevelType w:val="multilevel"/>
    <w:tmpl w:val="4E5D0534"/>
    <w:lvl w:ilvl="0" w:tentative="0">
      <w:start w:val="1"/>
      <w:numFmt w:val="decimal"/>
      <w:pStyle w:val="121"/>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7">
    <w:nsid w:val="54632751"/>
    <w:multiLevelType w:val="multilevel"/>
    <w:tmpl w:val="54632751"/>
    <w:lvl w:ilvl="0" w:tentative="0">
      <w:start w:val="1"/>
      <w:numFmt w:val="none"/>
      <w:pStyle w:val="98"/>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8">
    <w:nsid w:val="557C2AF5"/>
    <w:multiLevelType w:val="multilevel"/>
    <w:tmpl w:val="557C2AF5"/>
    <w:lvl w:ilvl="0" w:tentative="0">
      <w:start w:val="1"/>
      <w:numFmt w:val="decimal"/>
      <w:pStyle w:val="119"/>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9">
    <w:nsid w:val="5603797C"/>
    <w:multiLevelType w:val="multilevel"/>
    <w:tmpl w:val="5603797C"/>
    <w:lvl w:ilvl="0" w:tentative="0">
      <w:start w:val="1"/>
      <w:numFmt w:val="upperLetter"/>
      <w:pStyle w:val="204"/>
      <w:suff w:val="space"/>
      <w:lvlText w:val="%1"/>
      <w:lvlJc w:val="left"/>
      <w:pPr>
        <w:ind w:left="425" w:hanging="425"/>
      </w:pPr>
      <w:rPr>
        <w:rFonts w:hint="eastAsia"/>
      </w:rPr>
    </w:lvl>
    <w:lvl w:ilvl="1" w:tentative="0">
      <w:start w:val="1"/>
      <w:numFmt w:val="decimal"/>
      <w:pStyle w:val="82"/>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0">
    <w:nsid w:val="564D2089"/>
    <w:multiLevelType w:val="multilevel"/>
    <w:tmpl w:val="564D2089"/>
    <w:lvl w:ilvl="0" w:tentative="0">
      <w:start w:val="1"/>
      <w:numFmt w:val="none"/>
      <w:pStyle w:val="116"/>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644622F9"/>
    <w:multiLevelType w:val="multilevel"/>
    <w:tmpl w:val="644622F9"/>
    <w:lvl w:ilvl="0" w:tentative="0">
      <w:start w:val="1"/>
      <w:numFmt w:val="upperRoman"/>
      <w:pStyle w:val="173"/>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2">
    <w:nsid w:val="646260FA"/>
    <w:multiLevelType w:val="multilevel"/>
    <w:tmpl w:val="646260FA"/>
    <w:lvl w:ilvl="0" w:tentative="0">
      <w:start w:val="1"/>
      <w:numFmt w:val="decimal"/>
      <w:pStyle w:val="117"/>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3">
    <w:nsid w:val="654A26C9"/>
    <w:multiLevelType w:val="multilevel"/>
    <w:tmpl w:val="654A26C9"/>
    <w:lvl w:ilvl="0" w:tentative="0">
      <w:start w:val="1"/>
      <w:numFmt w:val="none"/>
      <w:pStyle w:val="194"/>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4">
    <w:nsid w:val="657D3FBC"/>
    <w:multiLevelType w:val="multilevel"/>
    <w:tmpl w:val="657D3FBC"/>
    <w:lvl w:ilvl="0" w:tentative="0">
      <w:start w:val="1"/>
      <w:numFmt w:val="upperLetter"/>
      <w:pStyle w:val="81"/>
      <w:suff w:val="nothing"/>
      <w:lvlText w:val="附录%1"/>
      <w:lvlJc w:val="left"/>
      <w:pPr>
        <w:ind w:left="0" w:firstLine="0"/>
      </w:pPr>
      <w:rPr>
        <w:rFonts w:hint="eastAsia"/>
        <w:spacing w:val="100"/>
      </w:rPr>
    </w:lvl>
    <w:lvl w:ilvl="1" w:tentative="0">
      <w:start w:val="1"/>
      <w:numFmt w:val="decimal"/>
      <w:pStyle w:val="83"/>
      <w:suff w:val="nothing"/>
      <w:lvlText w:val="%1.%2　"/>
      <w:lvlJc w:val="left"/>
      <w:pPr>
        <w:ind w:left="0" w:firstLine="0"/>
      </w:pPr>
      <w:rPr>
        <w:rFonts w:hint="eastAsia" w:ascii="黑体" w:eastAsia="黑体"/>
        <w:b w:val="0"/>
        <w:i w:val="0"/>
        <w:sz w:val="21"/>
      </w:rPr>
    </w:lvl>
    <w:lvl w:ilvl="2" w:tentative="0">
      <w:start w:val="1"/>
      <w:numFmt w:val="decimal"/>
      <w:pStyle w:val="84"/>
      <w:suff w:val="nothing"/>
      <w:lvlText w:val="%1.%2.%3　"/>
      <w:lvlJc w:val="left"/>
      <w:pPr>
        <w:ind w:left="0" w:firstLine="0"/>
      </w:pPr>
      <w:rPr>
        <w:rFonts w:hint="eastAsia" w:ascii="黑体" w:eastAsia="黑体"/>
        <w:b w:val="0"/>
        <w:i w:val="0"/>
        <w:sz w:val="21"/>
      </w:rPr>
    </w:lvl>
    <w:lvl w:ilvl="3" w:tentative="0">
      <w:start w:val="1"/>
      <w:numFmt w:val="decimal"/>
      <w:pStyle w:val="86"/>
      <w:suff w:val="nothing"/>
      <w:lvlText w:val="%1.%2.%3.%4　"/>
      <w:lvlJc w:val="left"/>
      <w:pPr>
        <w:ind w:left="0" w:firstLine="0"/>
      </w:pPr>
      <w:rPr>
        <w:rFonts w:hint="eastAsia" w:ascii="黑体" w:eastAsia="黑体"/>
        <w:b w:val="0"/>
        <w:i w:val="0"/>
        <w:sz w:val="21"/>
      </w:rPr>
    </w:lvl>
    <w:lvl w:ilvl="4" w:tentative="0">
      <w:start w:val="1"/>
      <w:numFmt w:val="decimal"/>
      <w:pStyle w:val="87"/>
      <w:suff w:val="nothing"/>
      <w:lvlText w:val="%1.%2.%3.%4.%5　"/>
      <w:lvlJc w:val="left"/>
      <w:pPr>
        <w:ind w:left="0" w:firstLine="0"/>
      </w:pPr>
      <w:rPr>
        <w:rFonts w:hint="eastAsia" w:ascii="黑体" w:eastAsia="黑体"/>
        <w:b w:val="0"/>
        <w:i w:val="0"/>
        <w:sz w:val="21"/>
      </w:rPr>
    </w:lvl>
    <w:lvl w:ilvl="5" w:tentative="0">
      <w:start w:val="1"/>
      <w:numFmt w:val="decimal"/>
      <w:pStyle w:val="89"/>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5">
    <w:nsid w:val="69506ABF"/>
    <w:multiLevelType w:val="multilevel"/>
    <w:tmpl w:val="69506ABF"/>
    <w:lvl w:ilvl="0" w:tentative="0">
      <w:start w:val="1"/>
      <w:numFmt w:val="bullet"/>
      <w:pStyle w:val="193"/>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6">
    <w:nsid w:val="6CA41985"/>
    <w:multiLevelType w:val="multilevel"/>
    <w:tmpl w:val="6CA41985"/>
    <w:lvl w:ilvl="0" w:tentative="0">
      <w:start w:val="1"/>
      <w:numFmt w:val="decimal"/>
      <w:pStyle w:val="102"/>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6CE42AC1"/>
    <w:multiLevelType w:val="multilevel"/>
    <w:tmpl w:val="6CE42AC1"/>
    <w:lvl w:ilvl="0" w:tentative="0">
      <w:start w:val="1"/>
      <w:numFmt w:val="lowerLetter"/>
      <w:pStyle w:val="17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CEA2025"/>
    <w:multiLevelType w:val="multilevel"/>
    <w:tmpl w:val="6CEA2025"/>
    <w:lvl w:ilvl="0" w:tentative="0">
      <w:start w:val="1"/>
      <w:numFmt w:val="none"/>
      <w:pStyle w:val="157"/>
      <w:suff w:val="nothing"/>
      <w:lvlText w:val="%1"/>
      <w:lvlJc w:val="left"/>
      <w:pPr>
        <w:ind w:left="0" w:firstLine="0"/>
      </w:pPr>
      <w:rPr>
        <w:rFonts w:hint="eastAsia"/>
      </w:rPr>
    </w:lvl>
    <w:lvl w:ilvl="1" w:tentative="0">
      <w:start w:val="1"/>
      <w:numFmt w:val="decimal"/>
      <w:pStyle w:val="109"/>
      <w:suff w:val="nothing"/>
      <w:lvlText w:val="%1%2　"/>
      <w:lvlJc w:val="left"/>
      <w:pPr>
        <w:ind w:left="0" w:firstLine="0"/>
      </w:pPr>
      <w:rPr>
        <w:rFonts w:hint="eastAsia" w:ascii="黑体" w:eastAsia="黑体"/>
        <w:b w:val="0"/>
        <w:i w:val="0"/>
        <w:sz w:val="21"/>
      </w:rPr>
    </w:lvl>
    <w:lvl w:ilvl="2" w:tentative="0">
      <w:start w:val="1"/>
      <w:numFmt w:val="decimal"/>
      <w:pStyle w:val="110"/>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70"/>
      <w:suff w:val="nothing"/>
      <w:lvlText w:val="%1%2.%3.%4　"/>
      <w:lvlJc w:val="left"/>
      <w:pPr>
        <w:ind w:left="0" w:firstLine="0"/>
      </w:pPr>
      <w:rPr>
        <w:rFonts w:hint="eastAsia" w:ascii="黑体" w:eastAsia="黑体"/>
        <w:b w:val="0"/>
        <w:i w:val="0"/>
        <w:sz w:val="21"/>
      </w:rPr>
    </w:lvl>
    <w:lvl w:ilvl="4" w:tentative="0">
      <w:start w:val="1"/>
      <w:numFmt w:val="decimal"/>
      <w:pStyle w:val="99"/>
      <w:suff w:val="nothing"/>
      <w:lvlText w:val="%1%2.%3.%4.%5　"/>
      <w:lvlJc w:val="left"/>
      <w:pPr>
        <w:ind w:left="0" w:firstLine="0"/>
      </w:pPr>
      <w:rPr>
        <w:rFonts w:hint="eastAsia" w:ascii="黑体" w:eastAsia="黑体"/>
        <w:b w:val="0"/>
        <w:i w:val="0"/>
        <w:sz w:val="21"/>
      </w:rPr>
    </w:lvl>
    <w:lvl w:ilvl="5" w:tentative="0">
      <w:start w:val="1"/>
      <w:numFmt w:val="decimal"/>
      <w:pStyle w:val="103"/>
      <w:suff w:val="nothing"/>
      <w:lvlText w:val="%1%2.%3.%4.%5.%6　"/>
      <w:lvlJc w:val="left"/>
      <w:pPr>
        <w:ind w:left="0" w:firstLine="0"/>
      </w:pPr>
      <w:rPr>
        <w:rFonts w:hint="eastAsia" w:ascii="黑体" w:eastAsia="黑体"/>
        <w:b w:val="0"/>
        <w:i w:val="0"/>
        <w:sz w:val="21"/>
      </w:rPr>
    </w:lvl>
    <w:lvl w:ilvl="6" w:tentative="0">
      <w:start w:val="1"/>
      <w:numFmt w:val="decimal"/>
      <w:pStyle w:val="108"/>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9">
    <w:nsid w:val="6DBF04F4"/>
    <w:multiLevelType w:val="multilevel"/>
    <w:tmpl w:val="6DBF04F4"/>
    <w:lvl w:ilvl="0" w:tentative="0">
      <w:start w:val="1"/>
      <w:numFmt w:val="none"/>
      <w:pStyle w:val="184"/>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0">
    <w:nsid w:val="6DF35F19"/>
    <w:multiLevelType w:val="multilevel"/>
    <w:tmpl w:val="6DF35F19"/>
    <w:lvl w:ilvl="0" w:tentative="0">
      <w:start w:val="1"/>
      <w:numFmt w:val="decimal"/>
      <w:pStyle w:val="120"/>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1">
    <w:nsid w:val="76933334"/>
    <w:multiLevelType w:val="multilevel"/>
    <w:tmpl w:val="76933334"/>
    <w:lvl w:ilvl="0" w:tentative="0">
      <w:start w:val="1"/>
      <w:numFmt w:val="none"/>
      <w:pStyle w:val="144"/>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8"/>
  </w:num>
  <w:num w:numId="3">
    <w:abstractNumId w:val="5"/>
  </w:num>
  <w:num w:numId="4">
    <w:abstractNumId w:val="24"/>
  </w:num>
  <w:num w:numId="5">
    <w:abstractNumId w:val="19"/>
  </w:num>
  <w:num w:numId="6">
    <w:abstractNumId w:val="13"/>
  </w:num>
  <w:num w:numId="7">
    <w:abstractNumId w:val="8"/>
  </w:num>
  <w:num w:numId="8">
    <w:abstractNumId w:val="3"/>
  </w:num>
  <w:num w:numId="9">
    <w:abstractNumId w:val="9"/>
  </w:num>
  <w:num w:numId="10">
    <w:abstractNumId w:val="17"/>
  </w:num>
  <w:num w:numId="11">
    <w:abstractNumId w:val="26"/>
  </w:num>
  <w:num w:numId="12">
    <w:abstractNumId w:val="11"/>
  </w:num>
  <w:num w:numId="13">
    <w:abstractNumId w:val="12"/>
  </w:num>
  <w:num w:numId="14">
    <w:abstractNumId w:val="7"/>
  </w:num>
  <w:num w:numId="15">
    <w:abstractNumId w:val="20"/>
  </w:num>
  <w:num w:numId="16">
    <w:abstractNumId w:val="22"/>
  </w:num>
  <w:num w:numId="17">
    <w:abstractNumId w:val="18"/>
  </w:num>
  <w:num w:numId="18">
    <w:abstractNumId w:val="30"/>
  </w:num>
  <w:num w:numId="19">
    <w:abstractNumId w:val="16"/>
  </w:num>
  <w:num w:numId="20">
    <w:abstractNumId w:val="1"/>
  </w:num>
  <w:num w:numId="21">
    <w:abstractNumId w:val="10"/>
  </w:num>
  <w:num w:numId="22">
    <w:abstractNumId w:val="31"/>
  </w:num>
  <w:num w:numId="23">
    <w:abstractNumId w:val="21"/>
  </w:num>
  <w:num w:numId="24">
    <w:abstractNumId w:val="6"/>
  </w:num>
  <w:num w:numId="25">
    <w:abstractNumId w:val="27"/>
  </w:num>
  <w:num w:numId="26">
    <w:abstractNumId w:val="29"/>
  </w:num>
  <w:num w:numId="27">
    <w:abstractNumId w:val="2"/>
  </w:num>
  <w:num w:numId="28">
    <w:abstractNumId w:val="4"/>
  </w:num>
  <w:num w:numId="29">
    <w:abstractNumId w:val="14"/>
  </w:num>
  <w:num w:numId="30">
    <w:abstractNumId w:val="25"/>
  </w:num>
  <w:num w:numId="31">
    <w:abstractNumId w:val="23"/>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attachedTemplate r:id="rId1"/>
  <w:documentProtection w:edit="forms"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D85"/>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365ED"/>
    <w:rsid w:val="0004249A"/>
    <w:rsid w:val="00042C8C"/>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1CFC"/>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A9C"/>
    <w:rsid w:val="000D1795"/>
    <w:rsid w:val="000D329A"/>
    <w:rsid w:val="000D4B9C"/>
    <w:rsid w:val="000D4EB6"/>
    <w:rsid w:val="000D753B"/>
    <w:rsid w:val="000E2D85"/>
    <w:rsid w:val="000E4C9E"/>
    <w:rsid w:val="000E6FD7"/>
    <w:rsid w:val="000E7144"/>
    <w:rsid w:val="000F06E1"/>
    <w:rsid w:val="000F0E3C"/>
    <w:rsid w:val="000F19D5"/>
    <w:rsid w:val="000F4050"/>
    <w:rsid w:val="000F4AEA"/>
    <w:rsid w:val="000F67E9"/>
    <w:rsid w:val="00104926"/>
    <w:rsid w:val="00113B1E"/>
    <w:rsid w:val="00114A2D"/>
    <w:rsid w:val="0011711C"/>
    <w:rsid w:val="00124E4F"/>
    <w:rsid w:val="001260B7"/>
    <w:rsid w:val="001265CB"/>
    <w:rsid w:val="001321C6"/>
    <w:rsid w:val="001325C4"/>
    <w:rsid w:val="00133010"/>
    <w:rsid w:val="001338EE"/>
    <w:rsid w:val="00133AAE"/>
    <w:rsid w:val="00135323"/>
    <w:rsid w:val="001356C4"/>
    <w:rsid w:val="00137565"/>
    <w:rsid w:val="00141114"/>
    <w:rsid w:val="00142969"/>
    <w:rsid w:val="001446C2"/>
    <w:rsid w:val="001457E7"/>
    <w:rsid w:val="00145D9D"/>
    <w:rsid w:val="00146388"/>
    <w:rsid w:val="001529E5"/>
    <w:rsid w:val="00152FB3"/>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87A0B"/>
    <w:rsid w:val="00190087"/>
    <w:rsid w:val="001913C4"/>
    <w:rsid w:val="0019348F"/>
    <w:rsid w:val="00193A07"/>
    <w:rsid w:val="00194C95"/>
    <w:rsid w:val="00195C34"/>
    <w:rsid w:val="00196EF5"/>
    <w:rsid w:val="001A1A53"/>
    <w:rsid w:val="001A234A"/>
    <w:rsid w:val="001A4CF3"/>
    <w:rsid w:val="001A6696"/>
    <w:rsid w:val="001B06E8"/>
    <w:rsid w:val="001B71D0"/>
    <w:rsid w:val="001B71EE"/>
    <w:rsid w:val="001C04A8"/>
    <w:rsid w:val="001C2C03"/>
    <w:rsid w:val="001C42F7"/>
    <w:rsid w:val="001C49E5"/>
    <w:rsid w:val="001C680C"/>
    <w:rsid w:val="001C7FEA"/>
    <w:rsid w:val="001D0499"/>
    <w:rsid w:val="001D0BBE"/>
    <w:rsid w:val="001D0ED4"/>
    <w:rsid w:val="001D2033"/>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0333"/>
    <w:rsid w:val="0020107D"/>
    <w:rsid w:val="00202AA4"/>
    <w:rsid w:val="002031F7"/>
    <w:rsid w:val="002040E6"/>
    <w:rsid w:val="0020527B"/>
    <w:rsid w:val="00205F2C"/>
    <w:rsid w:val="00210B15"/>
    <w:rsid w:val="002142EA"/>
    <w:rsid w:val="00215ADD"/>
    <w:rsid w:val="002204BB"/>
    <w:rsid w:val="00221B79"/>
    <w:rsid w:val="00221C6B"/>
    <w:rsid w:val="002253A1"/>
    <w:rsid w:val="00225CF8"/>
    <w:rsid w:val="0022794E"/>
    <w:rsid w:val="00233D64"/>
    <w:rsid w:val="0023482A"/>
    <w:rsid w:val="002359CB"/>
    <w:rsid w:val="00243540"/>
    <w:rsid w:val="0024497B"/>
    <w:rsid w:val="0024515B"/>
    <w:rsid w:val="00246021"/>
    <w:rsid w:val="0024666E"/>
    <w:rsid w:val="00247F52"/>
    <w:rsid w:val="00250B25"/>
    <w:rsid w:val="00250BBE"/>
    <w:rsid w:val="002515C2"/>
    <w:rsid w:val="0025194F"/>
    <w:rsid w:val="0026148A"/>
    <w:rsid w:val="00262696"/>
    <w:rsid w:val="00263D25"/>
    <w:rsid w:val="002643C3"/>
    <w:rsid w:val="00264A0C"/>
    <w:rsid w:val="00266EEB"/>
    <w:rsid w:val="00267EF4"/>
    <w:rsid w:val="00270CB8"/>
    <w:rsid w:val="00272B08"/>
    <w:rsid w:val="00281BB8"/>
    <w:rsid w:val="00281E9E"/>
    <w:rsid w:val="00282405"/>
    <w:rsid w:val="00285170"/>
    <w:rsid w:val="00285361"/>
    <w:rsid w:val="00292D60"/>
    <w:rsid w:val="00293B3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1FA5"/>
    <w:rsid w:val="002C3F07"/>
    <w:rsid w:val="002C5278"/>
    <w:rsid w:val="002C7EBB"/>
    <w:rsid w:val="002D06C1"/>
    <w:rsid w:val="002D42B5"/>
    <w:rsid w:val="002D4F1A"/>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58D"/>
    <w:rsid w:val="00322E62"/>
    <w:rsid w:val="00324D13"/>
    <w:rsid w:val="00324EDD"/>
    <w:rsid w:val="003331E4"/>
    <w:rsid w:val="00336C64"/>
    <w:rsid w:val="00337162"/>
    <w:rsid w:val="0034194F"/>
    <w:rsid w:val="00344605"/>
    <w:rsid w:val="003474AA"/>
    <w:rsid w:val="00350D1D"/>
    <w:rsid w:val="00352C83"/>
    <w:rsid w:val="00352F1A"/>
    <w:rsid w:val="0036107C"/>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1D1"/>
    <w:rsid w:val="003A1582"/>
    <w:rsid w:val="003A3D9C"/>
    <w:rsid w:val="003A4077"/>
    <w:rsid w:val="003A4AA7"/>
    <w:rsid w:val="003B09AD"/>
    <w:rsid w:val="003B1F18"/>
    <w:rsid w:val="003B5BF0"/>
    <w:rsid w:val="003B60BF"/>
    <w:rsid w:val="003B6BE3"/>
    <w:rsid w:val="003C010C"/>
    <w:rsid w:val="003C0A6C"/>
    <w:rsid w:val="003C14F8"/>
    <w:rsid w:val="003C5A43"/>
    <w:rsid w:val="003D0519"/>
    <w:rsid w:val="003D0FF6"/>
    <w:rsid w:val="003D262C"/>
    <w:rsid w:val="003D6D61"/>
    <w:rsid w:val="003E019F"/>
    <w:rsid w:val="003E091D"/>
    <w:rsid w:val="003E1C53"/>
    <w:rsid w:val="003E2A69"/>
    <w:rsid w:val="003E2D49"/>
    <w:rsid w:val="003E2FD4"/>
    <w:rsid w:val="003E49F6"/>
    <w:rsid w:val="003E660F"/>
    <w:rsid w:val="003F0841"/>
    <w:rsid w:val="003F23CE"/>
    <w:rsid w:val="003F23D3"/>
    <w:rsid w:val="003F3F08"/>
    <w:rsid w:val="003F49F1"/>
    <w:rsid w:val="003F6272"/>
    <w:rsid w:val="00400E72"/>
    <w:rsid w:val="00401400"/>
    <w:rsid w:val="00404869"/>
    <w:rsid w:val="00405884"/>
    <w:rsid w:val="00407D39"/>
    <w:rsid w:val="00412D40"/>
    <w:rsid w:val="0041477A"/>
    <w:rsid w:val="004167A3"/>
    <w:rsid w:val="00432DAA"/>
    <w:rsid w:val="00434305"/>
    <w:rsid w:val="00435DF7"/>
    <w:rsid w:val="0043741A"/>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75DE8"/>
    <w:rsid w:val="00481C44"/>
    <w:rsid w:val="00484936"/>
    <w:rsid w:val="00485C89"/>
    <w:rsid w:val="00486BE3"/>
    <w:rsid w:val="004905E4"/>
    <w:rsid w:val="00490A89"/>
    <w:rsid w:val="00490AB4"/>
    <w:rsid w:val="00492F02"/>
    <w:rsid w:val="004939AE"/>
    <w:rsid w:val="00494CC8"/>
    <w:rsid w:val="004A12DF"/>
    <w:rsid w:val="004A1BA8"/>
    <w:rsid w:val="004A4B57"/>
    <w:rsid w:val="004A63FA"/>
    <w:rsid w:val="004A6A3D"/>
    <w:rsid w:val="004B0272"/>
    <w:rsid w:val="004B2701"/>
    <w:rsid w:val="004B2E1B"/>
    <w:rsid w:val="004B3AA8"/>
    <w:rsid w:val="004B3E93"/>
    <w:rsid w:val="004C1FBC"/>
    <w:rsid w:val="004C25A2"/>
    <w:rsid w:val="004C3F1D"/>
    <w:rsid w:val="004C458D"/>
    <w:rsid w:val="004C7556"/>
    <w:rsid w:val="004C7E8B"/>
    <w:rsid w:val="004C7E9D"/>
    <w:rsid w:val="004C7F67"/>
    <w:rsid w:val="004D076D"/>
    <w:rsid w:val="004D0EF1"/>
    <w:rsid w:val="004D2253"/>
    <w:rsid w:val="004D4406"/>
    <w:rsid w:val="004D51D8"/>
    <w:rsid w:val="004D7C42"/>
    <w:rsid w:val="004E0465"/>
    <w:rsid w:val="004E127B"/>
    <w:rsid w:val="004E1C0A"/>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6088"/>
    <w:rsid w:val="00516B0B"/>
    <w:rsid w:val="005220EC"/>
    <w:rsid w:val="00523F95"/>
    <w:rsid w:val="00524D65"/>
    <w:rsid w:val="00525746"/>
    <w:rsid w:val="00525B16"/>
    <w:rsid w:val="00533D04"/>
    <w:rsid w:val="00534804"/>
    <w:rsid w:val="00534BDF"/>
    <w:rsid w:val="005354EA"/>
    <w:rsid w:val="0053585F"/>
    <w:rsid w:val="00535EC4"/>
    <w:rsid w:val="00535ED9"/>
    <w:rsid w:val="0053692B"/>
    <w:rsid w:val="00541853"/>
    <w:rsid w:val="00543BDA"/>
    <w:rsid w:val="005441CC"/>
    <w:rsid w:val="005479DA"/>
    <w:rsid w:val="00547BCC"/>
    <w:rsid w:val="0055013B"/>
    <w:rsid w:val="00551F6F"/>
    <w:rsid w:val="00555044"/>
    <w:rsid w:val="00561475"/>
    <w:rsid w:val="00562308"/>
    <w:rsid w:val="005627F5"/>
    <w:rsid w:val="0056487B"/>
    <w:rsid w:val="00564FB9"/>
    <w:rsid w:val="00573D9E"/>
    <w:rsid w:val="005801E3"/>
    <w:rsid w:val="00581802"/>
    <w:rsid w:val="005836A8"/>
    <w:rsid w:val="0058409C"/>
    <w:rsid w:val="00584262"/>
    <w:rsid w:val="00586630"/>
    <w:rsid w:val="00587ADD"/>
    <w:rsid w:val="00593A49"/>
    <w:rsid w:val="00594EF0"/>
    <w:rsid w:val="00596160"/>
    <w:rsid w:val="005966E2"/>
    <w:rsid w:val="00597007"/>
    <w:rsid w:val="005A0966"/>
    <w:rsid w:val="005A11B7"/>
    <w:rsid w:val="005A260B"/>
    <w:rsid w:val="005A4A1B"/>
    <w:rsid w:val="005A7830"/>
    <w:rsid w:val="005A7FCE"/>
    <w:rsid w:val="005B0F3F"/>
    <w:rsid w:val="005B161B"/>
    <w:rsid w:val="005B191C"/>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E2335"/>
    <w:rsid w:val="005E34CA"/>
    <w:rsid w:val="005E3C18"/>
    <w:rsid w:val="005E4250"/>
    <w:rsid w:val="005E6812"/>
    <w:rsid w:val="005E7881"/>
    <w:rsid w:val="005E78E0"/>
    <w:rsid w:val="005F0D9C"/>
    <w:rsid w:val="005F284E"/>
    <w:rsid w:val="006015CE"/>
    <w:rsid w:val="00601EEA"/>
    <w:rsid w:val="00604784"/>
    <w:rsid w:val="00606419"/>
    <w:rsid w:val="00607D29"/>
    <w:rsid w:val="00612952"/>
    <w:rsid w:val="00614CC1"/>
    <w:rsid w:val="00615A9D"/>
    <w:rsid w:val="00617387"/>
    <w:rsid w:val="006205D6"/>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879D7"/>
    <w:rsid w:val="00693962"/>
    <w:rsid w:val="006A07AA"/>
    <w:rsid w:val="006A25E5"/>
    <w:rsid w:val="006A2B46"/>
    <w:rsid w:val="006A336D"/>
    <w:rsid w:val="006A37B9"/>
    <w:rsid w:val="006B2672"/>
    <w:rsid w:val="006B54BF"/>
    <w:rsid w:val="006B5F44"/>
    <w:rsid w:val="006B5F90"/>
    <w:rsid w:val="006B62E4"/>
    <w:rsid w:val="006C1BBA"/>
    <w:rsid w:val="006C2079"/>
    <w:rsid w:val="006C5A62"/>
    <w:rsid w:val="006C5D68"/>
    <w:rsid w:val="006C6976"/>
    <w:rsid w:val="006C6DD0"/>
    <w:rsid w:val="006D04EA"/>
    <w:rsid w:val="006D16C4"/>
    <w:rsid w:val="006D3E96"/>
    <w:rsid w:val="006D4515"/>
    <w:rsid w:val="006D4BB1"/>
    <w:rsid w:val="006D6593"/>
    <w:rsid w:val="006F03A8"/>
    <w:rsid w:val="006F2ACA"/>
    <w:rsid w:val="006F2ADC"/>
    <w:rsid w:val="006F2BFE"/>
    <w:rsid w:val="006F31E9"/>
    <w:rsid w:val="006F6284"/>
    <w:rsid w:val="007002C5"/>
    <w:rsid w:val="00704387"/>
    <w:rsid w:val="00707669"/>
    <w:rsid w:val="00711CBA"/>
    <w:rsid w:val="00711FB5"/>
    <w:rsid w:val="00712A01"/>
    <w:rsid w:val="00714F58"/>
    <w:rsid w:val="00722FBF"/>
    <w:rsid w:val="00722FC2"/>
    <w:rsid w:val="00724E1B"/>
    <w:rsid w:val="00725949"/>
    <w:rsid w:val="00726C74"/>
    <w:rsid w:val="00727FA2"/>
    <w:rsid w:val="007322D9"/>
    <w:rsid w:val="00732BC0"/>
    <w:rsid w:val="0073720F"/>
    <w:rsid w:val="00737796"/>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434D"/>
    <w:rsid w:val="00755402"/>
    <w:rsid w:val="00756B26"/>
    <w:rsid w:val="00756EDF"/>
    <w:rsid w:val="007600E3"/>
    <w:rsid w:val="00765C43"/>
    <w:rsid w:val="00765EFB"/>
    <w:rsid w:val="007671CA"/>
    <w:rsid w:val="00767C61"/>
    <w:rsid w:val="0077008A"/>
    <w:rsid w:val="00773C1F"/>
    <w:rsid w:val="00774DA4"/>
    <w:rsid w:val="00776599"/>
    <w:rsid w:val="0078114B"/>
    <w:rsid w:val="00781DD2"/>
    <w:rsid w:val="00782207"/>
    <w:rsid w:val="00783ECF"/>
    <w:rsid w:val="0078413A"/>
    <w:rsid w:val="007959E8"/>
    <w:rsid w:val="00795E9C"/>
    <w:rsid w:val="007A0521"/>
    <w:rsid w:val="007A2E12"/>
    <w:rsid w:val="007A3475"/>
    <w:rsid w:val="007A41C8"/>
    <w:rsid w:val="007A54CE"/>
    <w:rsid w:val="007A5D3A"/>
    <w:rsid w:val="007A6FD9"/>
    <w:rsid w:val="007A7FFA"/>
    <w:rsid w:val="007B04EB"/>
    <w:rsid w:val="007B0D4F"/>
    <w:rsid w:val="007B5A3D"/>
    <w:rsid w:val="007B5B95"/>
    <w:rsid w:val="007B6032"/>
    <w:rsid w:val="007B68EA"/>
    <w:rsid w:val="007B7453"/>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1D19"/>
    <w:rsid w:val="00823303"/>
    <w:rsid w:val="008233B2"/>
    <w:rsid w:val="00823A9F"/>
    <w:rsid w:val="00823C85"/>
    <w:rsid w:val="00825138"/>
    <w:rsid w:val="008269DD"/>
    <w:rsid w:val="00830621"/>
    <w:rsid w:val="0083348C"/>
    <w:rsid w:val="008373D3"/>
    <w:rsid w:val="00840617"/>
    <w:rsid w:val="00840F84"/>
    <w:rsid w:val="00842A47"/>
    <w:rsid w:val="00843C13"/>
    <w:rsid w:val="00843DEF"/>
    <w:rsid w:val="008454F8"/>
    <w:rsid w:val="0085173A"/>
    <w:rsid w:val="00852EAD"/>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73B"/>
    <w:rsid w:val="008A1893"/>
    <w:rsid w:val="008A40F6"/>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6A7C"/>
    <w:rsid w:val="008D7B54"/>
    <w:rsid w:val="008E0C9D"/>
    <w:rsid w:val="008E1648"/>
    <w:rsid w:val="008E1B3E"/>
    <w:rsid w:val="008E2319"/>
    <w:rsid w:val="008E4BB6"/>
    <w:rsid w:val="008E5518"/>
    <w:rsid w:val="008E6A84"/>
    <w:rsid w:val="008E7982"/>
    <w:rsid w:val="008F0CDC"/>
    <w:rsid w:val="008F17A3"/>
    <w:rsid w:val="008F1ED3"/>
    <w:rsid w:val="008F3518"/>
    <w:rsid w:val="008F4C29"/>
    <w:rsid w:val="008F70BD"/>
    <w:rsid w:val="008F788F"/>
    <w:rsid w:val="008F7EA2"/>
    <w:rsid w:val="00902722"/>
    <w:rsid w:val="009027BC"/>
    <w:rsid w:val="009062E6"/>
    <w:rsid w:val="00911BE5"/>
    <w:rsid w:val="00913CA9"/>
    <w:rsid w:val="009145AE"/>
    <w:rsid w:val="009146CE"/>
    <w:rsid w:val="009147F4"/>
    <w:rsid w:val="00914CA7"/>
    <w:rsid w:val="00915C3E"/>
    <w:rsid w:val="009161A8"/>
    <w:rsid w:val="009245AE"/>
    <w:rsid w:val="009245F5"/>
    <w:rsid w:val="009249EC"/>
    <w:rsid w:val="009273B3"/>
    <w:rsid w:val="009305B5"/>
    <w:rsid w:val="009378DD"/>
    <w:rsid w:val="009429D5"/>
    <w:rsid w:val="00942BF1"/>
    <w:rsid w:val="00945180"/>
    <w:rsid w:val="00945428"/>
    <w:rsid w:val="0094607B"/>
    <w:rsid w:val="00953604"/>
    <w:rsid w:val="0095496B"/>
    <w:rsid w:val="00960F1E"/>
    <w:rsid w:val="009610DC"/>
    <w:rsid w:val="00961490"/>
    <w:rsid w:val="0096381A"/>
    <w:rsid w:val="00965E04"/>
    <w:rsid w:val="009674AD"/>
    <w:rsid w:val="00970CDC"/>
    <w:rsid w:val="00975727"/>
    <w:rsid w:val="00977010"/>
    <w:rsid w:val="00977D02"/>
    <w:rsid w:val="00977FF9"/>
    <w:rsid w:val="009809BB"/>
    <w:rsid w:val="0098364B"/>
    <w:rsid w:val="009908A3"/>
    <w:rsid w:val="009911AF"/>
    <w:rsid w:val="00991875"/>
    <w:rsid w:val="00991F92"/>
    <w:rsid w:val="00992985"/>
    <w:rsid w:val="00993889"/>
    <w:rsid w:val="0099551B"/>
    <w:rsid w:val="00996BD2"/>
    <w:rsid w:val="00997BF1"/>
    <w:rsid w:val="009A089C"/>
    <w:rsid w:val="009A118E"/>
    <w:rsid w:val="009A21CD"/>
    <w:rsid w:val="009A278C"/>
    <w:rsid w:val="009A2BC2"/>
    <w:rsid w:val="009A42C1"/>
    <w:rsid w:val="009A5429"/>
    <w:rsid w:val="009A72AD"/>
    <w:rsid w:val="009B09E0"/>
    <w:rsid w:val="009B0BC5"/>
    <w:rsid w:val="009B1247"/>
    <w:rsid w:val="009B6029"/>
    <w:rsid w:val="009B6971"/>
    <w:rsid w:val="009C27F1"/>
    <w:rsid w:val="009C3152"/>
    <w:rsid w:val="009C3257"/>
    <w:rsid w:val="009C4CFA"/>
    <w:rsid w:val="009C5070"/>
    <w:rsid w:val="009D112C"/>
    <w:rsid w:val="009D1385"/>
    <w:rsid w:val="009D47FA"/>
    <w:rsid w:val="009D4C5B"/>
    <w:rsid w:val="009D50D2"/>
    <w:rsid w:val="009D6BCA"/>
    <w:rsid w:val="009E0F62"/>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1E63"/>
    <w:rsid w:val="00A2271D"/>
    <w:rsid w:val="00A237D5"/>
    <w:rsid w:val="00A30EFC"/>
    <w:rsid w:val="00A31984"/>
    <w:rsid w:val="00A32D73"/>
    <w:rsid w:val="00A3367B"/>
    <w:rsid w:val="00A33C67"/>
    <w:rsid w:val="00A3597D"/>
    <w:rsid w:val="00A36DD1"/>
    <w:rsid w:val="00A4006C"/>
    <w:rsid w:val="00A40091"/>
    <w:rsid w:val="00A4030F"/>
    <w:rsid w:val="00A41C79"/>
    <w:rsid w:val="00A41CB5"/>
    <w:rsid w:val="00A42CDF"/>
    <w:rsid w:val="00A43EA9"/>
    <w:rsid w:val="00A4452E"/>
    <w:rsid w:val="00A4472C"/>
    <w:rsid w:val="00A44E69"/>
    <w:rsid w:val="00A4661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52D7"/>
    <w:rsid w:val="00A963F7"/>
    <w:rsid w:val="00A96AD8"/>
    <w:rsid w:val="00AA052C"/>
    <w:rsid w:val="00AA1E45"/>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2A69"/>
    <w:rsid w:val="00AE37E5"/>
    <w:rsid w:val="00AE5EB4"/>
    <w:rsid w:val="00AF0C18"/>
    <w:rsid w:val="00AF47C5"/>
    <w:rsid w:val="00AF5398"/>
    <w:rsid w:val="00B049AF"/>
    <w:rsid w:val="00B06560"/>
    <w:rsid w:val="00B07242"/>
    <w:rsid w:val="00B10534"/>
    <w:rsid w:val="00B113DB"/>
    <w:rsid w:val="00B11D8A"/>
    <w:rsid w:val="00B12981"/>
    <w:rsid w:val="00B147DD"/>
    <w:rsid w:val="00B156FD"/>
    <w:rsid w:val="00B1570A"/>
    <w:rsid w:val="00B21F61"/>
    <w:rsid w:val="00B261F1"/>
    <w:rsid w:val="00B265BC"/>
    <w:rsid w:val="00B31FB1"/>
    <w:rsid w:val="00B33952"/>
    <w:rsid w:val="00B33C5E"/>
    <w:rsid w:val="00B342F4"/>
    <w:rsid w:val="00B34369"/>
    <w:rsid w:val="00B34DC2"/>
    <w:rsid w:val="00B378E5"/>
    <w:rsid w:val="00B4346D"/>
    <w:rsid w:val="00B440F4"/>
    <w:rsid w:val="00B447A5"/>
    <w:rsid w:val="00B4654C"/>
    <w:rsid w:val="00B47293"/>
    <w:rsid w:val="00B50E50"/>
    <w:rsid w:val="00B52120"/>
    <w:rsid w:val="00B54ABC"/>
    <w:rsid w:val="00B56FBE"/>
    <w:rsid w:val="00B60ACF"/>
    <w:rsid w:val="00B62B58"/>
    <w:rsid w:val="00B65149"/>
    <w:rsid w:val="00B66567"/>
    <w:rsid w:val="00B66F52"/>
    <w:rsid w:val="00B66FE5"/>
    <w:rsid w:val="00B72880"/>
    <w:rsid w:val="00B758BF"/>
    <w:rsid w:val="00B77EC8"/>
    <w:rsid w:val="00B827A6"/>
    <w:rsid w:val="00B831CE"/>
    <w:rsid w:val="00B86677"/>
    <w:rsid w:val="00B87131"/>
    <w:rsid w:val="00B939B1"/>
    <w:rsid w:val="00B96D40"/>
    <w:rsid w:val="00B97386"/>
    <w:rsid w:val="00BA263B"/>
    <w:rsid w:val="00BA42B2"/>
    <w:rsid w:val="00BA58D4"/>
    <w:rsid w:val="00BA5B9E"/>
    <w:rsid w:val="00BA7C9A"/>
    <w:rsid w:val="00BB5F8F"/>
    <w:rsid w:val="00BB657A"/>
    <w:rsid w:val="00BC1A4E"/>
    <w:rsid w:val="00BC5DC7"/>
    <w:rsid w:val="00BC6B8B"/>
    <w:rsid w:val="00BC73D8"/>
    <w:rsid w:val="00BD52D7"/>
    <w:rsid w:val="00BD5AD2"/>
    <w:rsid w:val="00BE22F3"/>
    <w:rsid w:val="00BE5B52"/>
    <w:rsid w:val="00BE7B8D"/>
    <w:rsid w:val="00BF0993"/>
    <w:rsid w:val="00BF10A9"/>
    <w:rsid w:val="00BF1703"/>
    <w:rsid w:val="00BF231C"/>
    <w:rsid w:val="00BF51E5"/>
    <w:rsid w:val="00BF74A6"/>
    <w:rsid w:val="00C013AD"/>
    <w:rsid w:val="00C04904"/>
    <w:rsid w:val="00C056B3"/>
    <w:rsid w:val="00C103E5"/>
    <w:rsid w:val="00C13319"/>
    <w:rsid w:val="00C13EE9"/>
    <w:rsid w:val="00C21540"/>
    <w:rsid w:val="00C21906"/>
    <w:rsid w:val="00C21BFA"/>
    <w:rsid w:val="00C24C8D"/>
    <w:rsid w:val="00C25FE2"/>
    <w:rsid w:val="00C26B53"/>
    <w:rsid w:val="00C279B2"/>
    <w:rsid w:val="00C33E50"/>
    <w:rsid w:val="00C34C20"/>
    <w:rsid w:val="00C35A3E"/>
    <w:rsid w:val="00C42130"/>
    <w:rsid w:val="00C423A4"/>
    <w:rsid w:val="00C423E3"/>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30EA"/>
    <w:rsid w:val="00CF048A"/>
    <w:rsid w:val="00CF155A"/>
    <w:rsid w:val="00CF2947"/>
    <w:rsid w:val="00CF686F"/>
    <w:rsid w:val="00CF6E60"/>
    <w:rsid w:val="00CF7BCA"/>
    <w:rsid w:val="00D008FD"/>
    <w:rsid w:val="00D0321C"/>
    <w:rsid w:val="00D035EC"/>
    <w:rsid w:val="00D06AB1"/>
    <w:rsid w:val="00D06FC1"/>
    <w:rsid w:val="00D072ED"/>
    <w:rsid w:val="00D07A16"/>
    <w:rsid w:val="00D1067E"/>
    <w:rsid w:val="00D10F50"/>
    <w:rsid w:val="00D11272"/>
    <w:rsid w:val="00D126F5"/>
    <w:rsid w:val="00D1489E"/>
    <w:rsid w:val="00D20737"/>
    <w:rsid w:val="00D21E81"/>
    <w:rsid w:val="00D223DE"/>
    <w:rsid w:val="00D25E37"/>
    <w:rsid w:val="00D2661A"/>
    <w:rsid w:val="00D27582"/>
    <w:rsid w:val="00D27EC4"/>
    <w:rsid w:val="00D32719"/>
    <w:rsid w:val="00D33333"/>
    <w:rsid w:val="00D352A2"/>
    <w:rsid w:val="00D4162B"/>
    <w:rsid w:val="00D4514F"/>
    <w:rsid w:val="00D451E2"/>
    <w:rsid w:val="00D45E89"/>
    <w:rsid w:val="00D45E8D"/>
    <w:rsid w:val="00D466AE"/>
    <w:rsid w:val="00D4734F"/>
    <w:rsid w:val="00D51BF3"/>
    <w:rsid w:val="00D66846"/>
    <w:rsid w:val="00D675FB"/>
    <w:rsid w:val="00D71F25"/>
    <w:rsid w:val="00D72A9C"/>
    <w:rsid w:val="00D77031"/>
    <w:rsid w:val="00D84941"/>
    <w:rsid w:val="00D84FA1"/>
    <w:rsid w:val="00D851F0"/>
    <w:rsid w:val="00D86DB7"/>
    <w:rsid w:val="00D87BF5"/>
    <w:rsid w:val="00D90721"/>
    <w:rsid w:val="00D926D0"/>
    <w:rsid w:val="00D93030"/>
    <w:rsid w:val="00D950E1"/>
    <w:rsid w:val="00D952A6"/>
    <w:rsid w:val="00D97F99"/>
    <w:rsid w:val="00DA1E08"/>
    <w:rsid w:val="00DA24F8"/>
    <w:rsid w:val="00DA28E8"/>
    <w:rsid w:val="00DA38D3"/>
    <w:rsid w:val="00DA3932"/>
    <w:rsid w:val="00DA3AFC"/>
    <w:rsid w:val="00DA64F8"/>
    <w:rsid w:val="00DA6C15"/>
    <w:rsid w:val="00DB0258"/>
    <w:rsid w:val="00DB38EE"/>
    <w:rsid w:val="00DB498B"/>
    <w:rsid w:val="00DB66CA"/>
    <w:rsid w:val="00DB6BCA"/>
    <w:rsid w:val="00DB6F54"/>
    <w:rsid w:val="00DB73F7"/>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E01138"/>
    <w:rsid w:val="00E02DFB"/>
    <w:rsid w:val="00E030F9"/>
    <w:rsid w:val="00E0311A"/>
    <w:rsid w:val="00E03138"/>
    <w:rsid w:val="00E06404"/>
    <w:rsid w:val="00E11A85"/>
    <w:rsid w:val="00E12495"/>
    <w:rsid w:val="00E15CCD"/>
    <w:rsid w:val="00E202EF"/>
    <w:rsid w:val="00E210B5"/>
    <w:rsid w:val="00E2552F"/>
    <w:rsid w:val="00E3137A"/>
    <w:rsid w:val="00E32CCF"/>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1219"/>
    <w:rsid w:val="00E62FF9"/>
    <w:rsid w:val="00E635D6"/>
    <w:rsid w:val="00E639BC"/>
    <w:rsid w:val="00E664CC"/>
    <w:rsid w:val="00E70388"/>
    <w:rsid w:val="00E70F92"/>
    <w:rsid w:val="00E74313"/>
    <w:rsid w:val="00E74C54"/>
    <w:rsid w:val="00E77A03"/>
    <w:rsid w:val="00E822E8"/>
    <w:rsid w:val="00E82554"/>
    <w:rsid w:val="00E82606"/>
    <w:rsid w:val="00E831C1"/>
    <w:rsid w:val="00E846C8"/>
    <w:rsid w:val="00E84957"/>
    <w:rsid w:val="00E84A55"/>
    <w:rsid w:val="00E85BFF"/>
    <w:rsid w:val="00E90391"/>
    <w:rsid w:val="00E906C2"/>
    <w:rsid w:val="00E9311F"/>
    <w:rsid w:val="00E934D1"/>
    <w:rsid w:val="00E94AF0"/>
    <w:rsid w:val="00E95D13"/>
    <w:rsid w:val="00E95DD3"/>
    <w:rsid w:val="00E969D5"/>
    <w:rsid w:val="00E97B85"/>
    <w:rsid w:val="00EA58D1"/>
    <w:rsid w:val="00EA61BC"/>
    <w:rsid w:val="00EA681A"/>
    <w:rsid w:val="00EA735B"/>
    <w:rsid w:val="00EB1E69"/>
    <w:rsid w:val="00EB2086"/>
    <w:rsid w:val="00EB31ED"/>
    <w:rsid w:val="00EB5EDF"/>
    <w:rsid w:val="00EB60FE"/>
    <w:rsid w:val="00EB74DB"/>
    <w:rsid w:val="00EC5359"/>
    <w:rsid w:val="00EC562A"/>
    <w:rsid w:val="00ED067A"/>
    <w:rsid w:val="00ED2264"/>
    <w:rsid w:val="00ED2B50"/>
    <w:rsid w:val="00EE0350"/>
    <w:rsid w:val="00EE0719"/>
    <w:rsid w:val="00EE0E80"/>
    <w:rsid w:val="00EE20E8"/>
    <w:rsid w:val="00EE613F"/>
    <w:rsid w:val="00EE7295"/>
    <w:rsid w:val="00EE7869"/>
    <w:rsid w:val="00EF054A"/>
    <w:rsid w:val="00EF3235"/>
    <w:rsid w:val="00EF4ABD"/>
    <w:rsid w:val="00EF7E72"/>
    <w:rsid w:val="00F05455"/>
    <w:rsid w:val="00F06D37"/>
    <w:rsid w:val="00F07B9D"/>
    <w:rsid w:val="00F11586"/>
    <w:rsid w:val="00F1183B"/>
    <w:rsid w:val="00F11C9F"/>
    <w:rsid w:val="00F12263"/>
    <w:rsid w:val="00F1409D"/>
    <w:rsid w:val="00F14214"/>
    <w:rsid w:val="00F157A9"/>
    <w:rsid w:val="00F16F00"/>
    <w:rsid w:val="00F25BB6"/>
    <w:rsid w:val="00F26B7E"/>
    <w:rsid w:val="00F27A3B"/>
    <w:rsid w:val="00F32780"/>
    <w:rsid w:val="00F33817"/>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833BA"/>
    <w:rsid w:val="00F84FD0"/>
    <w:rsid w:val="00F859A8"/>
    <w:rsid w:val="00F86D87"/>
    <w:rsid w:val="00F9108B"/>
    <w:rsid w:val="00F91349"/>
    <w:rsid w:val="00F93A8A"/>
    <w:rsid w:val="00F95248"/>
    <w:rsid w:val="00F956A9"/>
    <w:rsid w:val="00F963ED"/>
    <w:rsid w:val="00F966CF"/>
    <w:rsid w:val="00F96CAE"/>
    <w:rsid w:val="00F97C99"/>
    <w:rsid w:val="00FA662D"/>
    <w:rsid w:val="00FA73B1"/>
    <w:rsid w:val="00FB0CB9"/>
    <w:rsid w:val="00FB231D"/>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6AC9"/>
    <w:rsid w:val="00FF730C"/>
    <w:rsid w:val="00FF73F4"/>
    <w:rsid w:val="00FF7CE4"/>
    <w:rsid w:val="00FF7E39"/>
    <w:rsid w:val="02E70A40"/>
    <w:rsid w:val="090F1DB2"/>
    <w:rsid w:val="0978425B"/>
    <w:rsid w:val="0C583B32"/>
    <w:rsid w:val="0D55289F"/>
    <w:rsid w:val="0EC94A60"/>
    <w:rsid w:val="10146EE8"/>
    <w:rsid w:val="160A3544"/>
    <w:rsid w:val="161A3F9E"/>
    <w:rsid w:val="180841A7"/>
    <w:rsid w:val="18FC1232"/>
    <w:rsid w:val="19B81AED"/>
    <w:rsid w:val="19FA4B4D"/>
    <w:rsid w:val="1A7D66E6"/>
    <w:rsid w:val="1C303F4D"/>
    <w:rsid w:val="222861CF"/>
    <w:rsid w:val="23F0675E"/>
    <w:rsid w:val="2975689D"/>
    <w:rsid w:val="29E543B1"/>
    <w:rsid w:val="2C7A1CCF"/>
    <w:rsid w:val="2EBF4856"/>
    <w:rsid w:val="31387117"/>
    <w:rsid w:val="346E6803"/>
    <w:rsid w:val="35D3648E"/>
    <w:rsid w:val="39C9085A"/>
    <w:rsid w:val="3A8404D4"/>
    <w:rsid w:val="3C4912C0"/>
    <w:rsid w:val="3DCE50EF"/>
    <w:rsid w:val="41546AD7"/>
    <w:rsid w:val="46E501D5"/>
    <w:rsid w:val="48124476"/>
    <w:rsid w:val="4AB77724"/>
    <w:rsid w:val="4CF83380"/>
    <w:rsid w:val="4D6C0FAE"/>
    <w:rsid w:val="4F7B74BC"/>
    <w:rsid w:val="51422684"/>
    <w:rsid w:val="515F79A9"/>
    <w:rsid w:val="577949F3"/>
    <w:rsid w:val="5A4F5C5A"/>
    <w:rsid w:val="5FEA17A7"/>
    <w:rsid w:val="601B069C"/>
    <w:rsid w:val="608B2761"/>
    <w:rsid w:val="60DF561A"/>
    <w:rsid w:val="61497B2C"/>
    <w:rsid w:val="63C16B56"/>
    <w:rsid w:val="66456B14"/>
    <w:rsid w:val="694E17D6"/>
    <w:rsid w:val="6B8E6784"/>
    <w:rsid w:val="6C6D165C"/>
    <w:rsid w:val="6CF25111"/>
    <w:rsid w:val="6DE10D51"/>
    <w:rsid w:val="70174317"/>
    <w:rsid w:val="71A35C7D"/>
    <w:rsid w:val="78C95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1"/>
    <w:qFormat/>
    <w:uiPriority w:val="0"/>
    <w:pPr>
      <w:keepNext/>
      <w:keepLines/>
      <w:spacing w:before="260" w:after="260" w:line="416" w:lineRule="auto"/>
      <w:outlineLvl w:val="2"/>
    </w:pPr>
    <w:rPr>
      <w:b/>
      <w:bCs/>
      <w:sz w:val="32"/>
      <w:szCs w:val="32"/>
    </w:rPr>
  </w:style>
  <w:style w:type="paragraph" w:styleId="5">
    <w:name w:val="heading 4"/>
    <w:basedOn w:val="1"/>
    <w:next w:val="1"/>
    <w:link w:val="4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3"/>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4"/>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5"/>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6"/>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7"/>
    <w:qFormat/>
    <w:uiPriority w:val="0"/>
    <w:pPr>
      <w:keepNext/>
      <w:keepLines/>
      <w:adjustRightInd/>
      <w:spacing w:before="240" w:after="64" w:line="320" w:lineRule="auto"/>
      <w:outlineLvl w:val="8"/>
    </w:pPr>
    <w:rPr>
      <w:rFonts w:ascii="Arial" w:hAnsi="Arial" w:eastAsia="黑体"/>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annotation text"/>
    <w:basedOn w:val="1"/>
    <w:link w:val="238"/>
    <w:semiHidden/>
    <w:unhideWhenUsed/>
    <w:qFormat/>
    <w:uiPriority w:val="99"/>
    <w:pPr>
      <w:jc w:val="left"/>
    </w:pPr>
  </w:style>
  <w:style w:type="paragraph" w:styleId="14">
    <w:name w:val="Body Text"/>
    <w:basedOn w:val="1"/>
    <w:link w:val="91"/>
    <w:qFormat/>
    <w:uiPriority w:val="0"/>
    <w:pPr>
      <w:spacing w:after="120"/>
    </w:pPr>
  </w:style>
  <w:style w:type="paragraph" w:styleId="15">
    <w:name w:val="Body Text Indent"/>
    <w:basedOn w:val="1"/>
    <w:link w:val="236"/>
    <w:semiHidden/>
    <w:unhideWhenUsed/>
    <w:qFormat/>
    <w:uiPriority w:val="99"/>
    <w:pPr>
      <w:spacing w:after="120"/>
      <w:ind w:left="420" w:leftChars="200"/>
    </w:pPr>
  </w:style>
  <w:style w:type="paragraph" w:styleId="16">
    <w:name w:val="toc 5"/>
    <w:basedOn w:val="1"/>
    <w:next w:val="1"/>
    <w:autoRedefine/>
    <w:unhideWhenUsed/>
    <w:qFormat/>
    <w:uiPriority w:val="39"/>
    <w:pPr>
      <w:ind w:left="839"/>
    </w:pPr>
    <w:rPr>
      <w:rFonts w:ascii="宋体"/>
    </w:rPr>
  </w:style>
  <w:style w:type="paragraph" w:styleId="17">
    <w:name w:val="toc 3"/>
    <w:basedOn w:val="1"/>
    <w:next w:val="1"/>
    <w:autoRedefine/>
    <w:unhideWhenUsed/>
    <w:qFormat/>
    <w:uiPriority w:val="39"/>
    <w:pPr>
      <w:spacing w:line="300" w:lineRule="exact"/>
      <w:ind w:left="420"/>
    </w:pPr>
    <w:rPr>
      <w:rFonts w:ascii="宋体"/>
    </w:rPr>
  </w:style>
  <w:style w:type="paragraph" w:styleId="18">
    <w:name w:val="Balloon Text"/>
    <w:basedOn w:val="1"/>
    <w:link w:val="50"/>
    <w:semiHidden/>
    <w:unhideWhenUsed/>
    <w:qFormat/>
    <w:uiPriority w:val="99"/>
    <w:rPr>
      <w:sz w:val="18"/>
      <w:szCs w:val="18"/>
    </w:rPr>
  </w:style>
  <w:style w:type="paragraph" w:styleId="19">
    <w:name w:val="footer"/>
    <w:basedOn w:val="1"/>
    <w:link w:val="49"/>
    <w:qFormat/>
    <w:uiPriority w:val="99"/>
    <w:pPr>
      <w:tabs>
        <w:tab w:val="center" w:pos="4153"/>
        <w:tab w:val="right" w:pos="8306"/>
      </w:tabs>
      <w:adjustRightInd/>
      <w:snapToGrid w:val="0"/>
      <w:spacing w:line="240" w:lineRule="auto"/>
      <w:jc w:val="right"/>
    </w:pPr>
    <w:rPr>
      <w:rFonts w:ascii="宋体"/>
      <w:sz w:val="18"/>
      <w:szCs w:val="18"/>
    </w:rPr>
  </w:style>
  <w:style w:type="paragraph" w:styleId="20">
    <w:name w:val="header"/>
    <w:basedOn w:val="1"/>
    <w:link w:val="48"/>
    <w:qFormat/>
    <w:uiPriority w:val="99"/>
    <w:pPr>
      <w:tabs>
        <w:tab w:val="center" w:pos="4153"/>
        <w:tab w:val="right" w:pos="8306"/>
      </w:tabs>
      <w:adjustRightInd/>
      <w:snapToGrid w:val="0"/>
      <w:jc w:val="center"/>
    </w:pPr>
    <w:rPr>
      <w:sz w:val="18"/>
      <w:szCs w:val="18"/>
    </w:rPr>
  </w:style>
  <w:style w:type="paragraph" w:styleId="21">
    <w:name w:val="toc 1"/>
    <w:basedOn w:val="1"/>
    <w:next w:val="1"/>
    <w:autoRedefine/>
    <w:unhideWhenUsed/>
    <w:qFormat/>
    <w:uiPriority w:val="39"/>
    <w:rPr>
      <w:rFonts w:ascii="宋体"/>
    </w:rPr>
  </w:style>
  <w:style w:type="paragraph" w:styleId="22">
    <w:name w:val="toc 4"/>
    <w:basedOn w:val="1"/>
    <w:next w:val="1"/>
    <w:autoRedefine/>
    <w:unhideWhenUsed/>
    <w:qFormat/>
    <w:uiPriority w:val="39"/>
    <w:pPr>
      <w:tabs>
        <w:tab w:val="right" w:leader="dot" w:pos="9344"/>
      </w:tabs>
      <w:spacing w:line="300" w:lineRule="exact"/>
      <w:ind w:left="629"/>
    </w:pPr>
    <w:rPr>
      <w:rFonts w:ascii="宋体"/>
    </w:rPr>
  </w:style>
  <w:style w:type="paragraph" w:styleId="23">
    <w:name w:val="footnote text"/>
    <w:basedOn w:val="1"/>
    <w:next w:val="1"/>
    <w:link w:val="104"/>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4">
    <w:name w:val="toc 6"/>
    <w:basedOn w:val="1"/>
    <w:next w:val="1"/>
    <w:autoRedefine/>
    <w:unhideWhenUsed/>
    <w:qFormat/>
    <w:uiPriority w:val="39"/>
    <w:pPr>
      <w:spacing w:line="300" w:lineRule="exact"/>
      <w:ind w:left="1049"/>
    </w:pPr>
    <w:rPr>
      <w:rFonts w:ascii="宋体"/>
    </w:rPr>
  </w:style>
  <w:style w:type="paragraph" w:styleId="25">
    <w:name w:val="table of figures"/>
    <w:basedOn w:val="1"/>
    <w:next w:val="1"/>
    <w:semiHidden/>
    <w:qFormat/>
    <w:uiPriority w:val="0"/>
    <w:pPr>
      <w:adjustRightInd/>
      <w:spacing w:line="240" w:lineRule="auto"/>
      <w:jc w:val="left"/>
    </w:pPr>
    <w:rPr>
      <w:szCs w:val="24"/>
    </w:rPr>
  </w:style>
  <w:style w:type="paragraph" w:styleId="26">
    <w:name w:val="toc 2"/>
    <w:basedOn w:val="1"/>
    <w:next w:val="1"/>
    <w:autoRedefine/>
    <w:unhideWhenUsed/>
    <w:qFormat/>
    <w:uiPriority w:val="39"/>
    <w:pPr>
      <w:tabs>
        <w:tab w:val="right" w:leader="dot" w:pos="9344"/>
      </w:tabs>
      <w:spacing w:line="300" w:lineRule="exact"/>
      <w:ind w:left="210"/>
    </w:pPr>
    <w:rPr>
      <w:rFonts w:ascii="宋体"/>
    </w:rPr>
  </w:style>
  <w:style w:type="paragraph" w:styleId="2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8">
    <w:name w:val="Title"/>
    <w:basedOn w:val="1"/>
    <w:link w:val="53"/>
    <w:qFormat/>
    <w:uiPriority w:val="0"/>
    <w:pPr>
      <w:spacing w:before="240" w:after="60"/>
      <w:jc w:val="center"/>
      <w:outlineLvl w:val="0"/>
    </w:pPr>
    <w:rPr>
      <w:rFonts w:ascii="Arial" w:hAnsi="Arial" w:cs="Arial"/>
      <w:b/>
      <w:bCs/>
      <w:sz w:val="32"/>
      <w:szCs w:val="32"/>
    </w:rPr>
  </w:style>
  <w:style w:type="paragraph" w:styleId="29">
    <w:name w:val="annotation subject"/>
    <w:basedOn w:val="13"/>
    <w:next w:val="13"/>
    <w:link w:val="239"/>
    <w:semiHidden/>
    <w:unhideWhenUsed/>
    <w:qFormat/>
    <w:uiPriority w:val="99"/>
    <w:rPr>
      <w:b/>
      <w:bCs/>
    </w:rPr>
  </w:style>
  <w:style w:type="table" w:styleId="31">
    <w:name w:val="Table Grid"/>
    <w:basedOn w:val="3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22"/>
    <w:rPr>
      <w:b/>
      <w:bCs/>
    </w:rPr>
  </w:style>
  <w:style w:type="character" w:styleId="34">
    <w:name w:val="page number"/>
    <w:qFormat/>
    <w:uiPriority w:val="0"/>
    <w:rPr>
      <w:rFonts w:ascii="宋体" w:hAnsi="Times New Roman" w:eastAsia="宋体"/>
      <w:sz w:val="18"/>
    </w:rPr>
  </w:style>
  <w:style w:type="character" w:styleId="35">
    <w:name w:val="Emphasis"/>
    <w:qFormat/>
    <w:uiPriority w:val="20"/>
    <w:rPr>
      <w:i/>
      <w:iCs/>
    </w:rPr>
  </w:style>
  <w:style w:type="character" w:styleId="36">
    <w:name w:val="Hyperlink"/>
    <w:basedOn w:val="32"/>
    <w:qFormat/>
    <w:uiPriority w:val="99"/>
    <w:rPr>
      <w:rFonts w:ascii="宋体" w:hAnsi="Times New Roman" w:eastAsia="宋体"/>
      <w:color w:val="auto"/>
      <w:spacing w:val="0"/>
      <w:w w:val="100"/>
      <w:position w:val="0"/>
      <w:sz w:val="21"/>
      <w:u w:val="none"/>
      <w:vertAlign w:val="baseline"/>
    </w:rPr>
  </w:style>
  <w:style w:type="character" w:styleId="37">
    <w:name w:val="annotation reference"/>
    <w:basedOn w:val="32"/>
    <w:semiHidden/>
    <w:unhideWhenUsed/>
    <w:qFormat/>
    <w:uiPriority w:val="99"/>
    <w:rPr>
      <w:sz w:val="21"/>
      <w:szCs w:val="21"/>
    </w:rPr>
  </w:style>
  <w:style w:type="character" w:styleId="38">
    <w:name w:val="footnote reference"/>
    <w:semiHidden/>
    <w:qFormat/>
    <w:uiPriority w:val="0"/>
    <w:rPr>
      <w:rFonts w:ascii="宋体" w:hAnsi="宋体" w:eastAsia="宋体" w:cs="Times New Roman"/>
      <w:spacing w:val="0"/>
      <w:sz w:val="18"/>
      <w:vertAlign w:val="superscript"/>
    </w:rPr>
  </w:style>
  <w:style w:type="character" w:customStyle="1" w:styleId="39">
    <w:name w:val="标题 1 Char"/>
    <w:link w:val="2"/>
    <w:qFormat/>
    <w:uiPriority w:val="0"/>
    <w:rPr>
      <w:b/>
      <w:bCs/>
      <w:kern w:val="44"/>
      <w:sz w:val="44"/>
      <w:szCs w:val="44"/>
    </w:rPr>
  </w:style>
  <w:style w:type="character" w:customStyle="1" w:styleId="40">
    <w:name w:val="标题 2 Char"/>
    <w:link w:val="3"/>
    <w:qFormat/>
    <w:uiPriority w:val="0"/>
    <w:rPr>
      <w:rFonts w:ascii="Arial" w:hAnsi="Arial" w:eastAsia="黑体"/>
      <w:b/>
      <w:bCs/>
      <w:kern w:val="2"/>
      <w:sz w:val="32"/>
      <w:szCs w:val="32"/>
    </w:rPr>
  </w:style>
  <w:style w:type="character" w:customStyle="1" w:styleId="41">
    <w:name w:val="标题 3 Char"/>
    <w:link w:val="4"/>
    <w:qFormat/>
    <w:uiPriority w:val="0"/>
    <w:rPr>
      <w:b/>
      <w:bCs/>
      <w:kern w:val="2"/>
      <w:sz w:val="32"/>
      <w:szCs w:val="32"/>
    </w:rPr>
  </w:style>
  <w:style w:type="character" w:customStyle="1" w:styleId="42">
    <w:name w:val="标题 4 Char"/>
    <w:link w:val="5"/>
    <w:qFormat/>
    <w:uiPriority w:val="0"/>
    <w:rPr>
      <w:rFonts w:ascii="Arial" w:hAnsi="Arial" w:eastAsia="黑体"/>
      <w:b/>
      <w:bCs/>
      <w:kern w:val="2"/>
      <w:sz w:val="28"/>
      <w:szCs w:val="28"/>
    </w:rPr>
  </w:style>
  <w:style w:type="character" w:customStyle="1" w:styleId="43">
    <w:name w:val="标题 5 Char"/>
    <w:link w:val="6"/>
    <w:qFormat/>
    <w:uiPriority w:val="0"/>
    <w:rPr>
      <w:b/>
      <w:bCs/>
      <w:kern w:val="2"/>
      <w:sz w:val="28"/>
      <w:szCs w:val="28"/>
    </w:rPr>
  </w:style>
  <w:style w:type="character" w:customStyle="1" w:styleId="44">
    <w:name w:val="标题 6 Char"/>
    <w:link w:val="7"/>
    <w:qFormat/>
    <w:uiPriority w:val="0"/>
    <w:rPr>
      <w:rFonts w:ascii="Arial" w:hAnsi="Arial" w:eastAsia="黑体"/>
      <w:b/>
      <w:bCs/>
      <w:kern w:val="2"/>
      <w:sz w:val="24"/>
      <w:szCs w:val="24"/>
    </w:rPr>
  </w:style>
  <w:style w:type="character" w:customStyle="1" w:styleId="45">
    <w:name w:val="标题 7 Char"/>
    <w:link w:val="8"/>
    <w:qFormat/>
    <w:uiPriority w:val="0"/>
    <w:rPr>
      <w:b/>
      <w:bCs/>
      <w:kern w:val="2"/>
      <w:sz w:val="24"/>
      <w:szCs w:val="24"/>
    </w:rPr>
  </w:style>
  <w:style w:type="character" w:customStyle="1" w:styleId="46">
    <w:name w:val="标题 8 Char"/>
    <w:link w:val="9"/>
    <w:qFormat/>
    <w:uiPriority w:val="0"/>
    <w:rPr>
      <w:rFonts w:ascii="Arial" w:hAnsi="Arial" w:eastAsia="黑体"/>
      <w:kern w:val="2"/>
      <w:sz w:val="24"/>
      <w:szCs w:val="24"/>
    </w:rPr>
  </w:style>
  <w:style w:type="character" w:customStyle="1" w:styleId="47">
    <w:name w:val="标题 9 Char"/>
    <w:link w:val="10"/>
    <w:qFormat/>
    <w:uiPriority w:val="0"/>
    <w:rPr>
      <w:rFonts w:ascii="Arial" w:hAnsi="Arial" w:eastAsia="黑体"/>
      <w:kern w:val="2"/>
      <w:sz w:val="21"/>
      <w:szCs w:val="21"/>
    </w:rPr>
  </w:style>
  <w:style w:type="character" w:customStyle="1" w:styleId="48">
    <w:name w:val="页眉 Char"/>
    <w:link w:val="20"/>
    <w:qFormat/>
    <w:uiPriority w:val="99"/>
    <w:rPr>
      <w:kern w:val="2"/>
      <w:sz w:val="18"/>
      <w:szCs w:val="18"/>
    </w:rPr>
  </w:style>
  <w:style w:type="character" w:customStyle="1" w:styleId="49">
    <w:name w:val="页脚 Char"/>
    <w:link w:val="19"/>
    <w:qFormat/>
    <w:uiPriority w:val="99"/>
    <w:rPr>
      <w:rFonts w:ascii="宋体"/>
      <w:kern w:val="2"/>
      <w:sz w:val="18"/>
      <w:szCs w:val="18"/>
    </w:rPr>
  </w:style>
  <w:style w:type="character" w:customStyle="1" w:styleId="50">
    <w:name w:val="批注框文本 Char"/>
    <w:link w:val="18"/>
    <w:semiHidden/>
    <w:qFormat/>
    <w:uiPriority w:val="99"/>
    <w:rPr>
      <w:kern w:val="2"/>
      <w:sz w:val="18"/>
      <w:szCs w:val="18"/>
    </w:rPr>
  </w:style>
  <w:style w:type="paragraph" w:styleId="51">
    <w:name w:val="Quote"/>
    <w:basedOn w:val="1"/>
    <w:next w:val="1"/>
    <w:link w:val="52"/>
    <w:qFormat/>
    <w:uiPriority w:val="29"/>
    <w:rPr>
      <w:i/>
      <w:iCs/>
      <w:color w:val="000000"/>
    </w:rPr>
  </w:style>
  <w:style w:type="character" w:customStyle="1" w:styleId="52">
    <w:name w:val="引用 Char"/>
    <w:link w:val="51"/>
    <w:qFormat/>
    <w:uiPriority w:val="29"/>
    <w:rPr>
      <w:i/>
      <w:iCs/>
      <w:color w:val="000000"/>
      <w:kern w:val="2"/>
      <w:sz w:val="21"/>
      <w:szCs w:val="21"/>
    </w:rPr>
  </w:style>
  <w:style w:type="character" w:customStyle="1" w:styleId="53">
    <w:name w:val="标题 Char"/>
    <w:link w:val="28"/>
    <w:qFormat/>
    <w:uiPriority w:val="0"/>
    <w:rPr>
      <w:rFonts w:ascii="Arial" w:hAnsi="Arial" w:cs="Arial"/>
      <w:b/>
      <w:bCs/>
      <w:kern w:val="2"/>
      <w:sz w:val="32"/>
      <w:szCs w:val="32"/>
    </w:rPr>
  </w:style>
  <w:style w:type="paragraph" w:customStyle="1" w:styleId="54">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6">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7">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8">
    <w:name w:val="标准书眉一"/>
    <w:qFormat/>
    <w:uiPriority w:val="0"/>
    <w:pPr>
      <w:jc w:val="both"/>
    </w:pPr>
    <w:rPr>
      <w:rFonts w:ascii="Times New Roman" w:hAnsi="Times New Roman" w:eastAsia="宋体" w:cs="Times New Roman"/>
      <w:lang w:val="en-US" w:eastAsia="zh-CN" w:bidi="ar-SA"/>
    </w:rPr>
  </w:style>
  <w:style w:type="paragraph" w:customStyle="1" w:styleId="59">
    <w:name w:val="标准文件_ICS"/>
    <w:basedOn w:val="1"/>
    <w:qFormat/>
    <w:uiPriority w:val="0"/>
    <w:pPr>
      <w:spacing w:line="0" w:lineRule="atLeast"/>
    </w:pPr>
    <w:rPr>
      <w:rFonts w:ascii="黑体" w:hAnsi="宋体" w:eastAsia="黑体"/>
    </w:rPr>
  </w:style>
  <w:style w:type="paragraph" w:customStyle="1" w:styleId="60">
    <w:name w:val="标准文件_标准正文"/>
    <w:basedOn w:val="1"/>
    <w:next w:val="61"/>
    <w:qFormat/>
    <w:uiPriority w:val="0"/>
    <w:pPr>
      <w:snapToGrid w:val="0"/>
      <w:ind w:firstLine="200" w:firstLineChars="200"/>
    </w:pPr>
    <w:rPr>
      <w:kern w:val="0"/>
    </w:rPr>
  </w:style>
  <w:style w:type="paragraph" w:customStyle="1" w:styleId="61">
    <w:name w:val="标准文件_段"/>
    <w:link w:val="189"/>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2">
    <w:name w:val="标准文件_版本"/>
    <w:basedOn w:val="60"/>
    <w:qFormat/>
    <w:uiPriority w:val="0"/>
    <w:pPr>
      <w:adjustRightInd/>
      <w:snapToGrid/>
      <w:ind w:firstLine="0" w:firstLineChars="0"/>
    </w:pPr>
    <w:rPr>
      <w:rFonts w:ascii="宋体" w:hAnsi="宋体"/>
      <w:kern w:val="2"/>
    </w:rPr>
  </w:style>
  <w:style w:type="paragraph" w:customStyle="1" w:styleId="63">
    <w:name w:val="标准文件_标准部门"/>
    <w:basedOn w:val="1"/>
    <w:qFormat/>
    <w:uiPriority w:val="0"/>
    <w:pPr>
      <w:jc w:val="center"/>
    </w:pPr>
    <w:rPr>
      <w:rFonts w:ascii="黑体" w:eastAsia="黑体"/>
      <w:kern w:val="0"/>
      <w:sz w:val="44"/>
    </w:rPr>
  </w:style>
  <w:style w:type="paragraph" w:customStyle="1" w:styleId="64">
    <w:name w:val="标准文件_标准代替"/>
    <w:basedOn w:val="1"/>
    <w:next w:val="1"/>
    <w:qFormat/>
    <w:uiPriority w:val="0"/>
    <w:pPr>
      <w:spacing w:line="310" w:lineRule="exact"/>
      <w:jc w:val="right"/>
    </w:pPr>
    <w:rPr>
      <w:rFonts w:ascii="宋体" w:hAnsi="宋体"/>
      <w:kern w:val="0"/>
    </w:rPr>
  </w:style>
  <w:style w:type="paragraph" w:customStyle="1" w:styleId="65">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6">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7">
    <w:name w:val="标准文件_页眉偶数页"/>
    <w:basedOn w:val="66"/>
    <w:next w:val="1"/>
    <w:qFormat/>
    <w:uiPriority w:val="0"/>
    <w:pPr>
      <w:jc w:val="left"/>
    </w:pPr>
  </w:style>
  <w:style w:type="paragraph" w:customStyle="1" w:styleId="68">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69">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70">
    <w:name w:val="标准文件_二级条标题"/>
    <w:next w:val="61"/>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71">
    <w:name w:val="标准文件_发布"/>
    <w:qFormat/>
    <w:uiPriority w:val="0"/>
    <w:rPr>
      <w:rFonts w:ascii="黑体" w:eastAsia="黑体"/>
      <w:spacing w:val="0"/>
      <w:w w:val="100"/>
      <w:position w:val="3"/>
      <w:sz w:val="28"/>
    </w:rPr>
  </w:style>
  <w:style w:type="paragraph" w:customStyle="1" w:styleId="72">
    <w:name w:val="标准文件_方框数字列项"/>
    <w:basedOn w:val="61"/>
    <w:qFormat/>
    <w:uiPriority w:val="0"/>
    <w:pPr>
      <w:numPr>
        <w:ilvl w:val="0"/>
        <w:numId w:val="3"/>
      </w:numPr>
      <w:ind w:firstLine="0" w:firstLineChars="0"/>
    </w:pPr>
  </w:style>
  <w:style w:type="paragraph" w:customStyle="1" w:styleId="73">
    <w:name w:val="标准文件_封面标准编号"/>
    <w:basedOn w:val="1"/>
    <w:next w:val="64"/>
    <w:qFormat/>
    <w:uiPriority w:val="0"/>
    <w:pPr>
      <w:spacing w:line="310" w:lineRule="exact"/>
      <w:jc w:val="right"/>
    </w:pPr>
    <w:rPr>
      <w:rFonts w:ascii="黑体" w:eastAsia="黑体"/>
      <w:kern w:val="0"/>
      <w:sz w:val="28"/>
    </w:rPr>
  </w:style>
  <w:style w:type="paragraph" w:customStyle="1" w:styleId="74">
    <w:name w:val="标准文件_封面标准分类号"/>
    <w:basedOn w:val="1"/>
    <w:qFormat/>
    <w:uiPriority w:val="0"/>
    <w:rPr>
      <w:rFonts w:ascii="黑体" w:eastAsia="黑体"/>
      <w:b/>
      <w:kern w:val="0"/>
      <w:sz w:val="28"/>
    </w:rPr>
  </w:style>
  <w:style w:type="paragraph" w:customStyle="1" w:styleId="75">
    <w:name w:val="标准文件_封面标准名称"/>
    <w:basedOn w:val="1"/>
    <w:qFormat/>
    <w:uiPriority w:val="0"/>
    <w:pPr>
      <w:spacing w:line="240" w:lineRule="auto"/>
      <w:jc w:val="center"/>
    </w:pPr>
    <w:rPr>
      <w:rFonts w:ascii="黑体" w:eastAsia="黑体"/>
      <w:kern w:val="0"/>
      <w:sz w:val="52"/>
    </w:rPr>
  </w:style>
  <w:style w:type="paragraph" w:customStyle="1" w:styleId="76">
    <w:name w:val="标准文件_封面标准英文名称"/>
    <w:basedOn w:val="1"/>
    <w:qFormat/>
    <w:uiPriority w:val="0"/>
    <w:pPr>
      <w:spacing w:line="240" w:lineRule="auto"/>
      <w:jc w:val="center"/>
    </w:pPr>
    <w:rPr>
      <w:rFonts w:ascii="黑体" w:eastAsia="黑体"/>
      <w:b/>
      <w:sz w:val="28"/>
    </w:rPr>
  </w:style>
  <w:style w:type="paragraph" w:customStyle="1" w:styleId="77">
    <w:name w:val="标准文件_封面发布日期"/>
    <w:basedOn w:val="1"/>
    <w:qFormat/>
    <w:uiPriority w:val="0"/>
    <w:pPr>
      <w:spacing w:line="310" w:lineRule="exact"/>
    </w:pPr>
    <w:rPr>
      <w:rFonts w:ascii="黑体" w:eastAsia="黑体"/>
      <w:kern w:val="0"/>
      <w:sz w:val="28"/>
    </w:rPr>
  </w:style>
  <w:style w:type="paragraph" w:customStyle="1" w:styleId="78">
    <w:name w:val="标准文件_封面密级"/>
    <w:basedOn w:val="1"/>
    <w:qFormat/>
    <w:uiPriority w:val="0"/>
    <w:rPr>
      <w:rFonts w:eastAsia="黑体"/>
      <w:sz w:val="32"/>
    </w:rPr>
  </w:style>
  <w:style w:type="paragraph" w:customStyle="1" w:styleId="79">
    <w:name w:val="标准文件_封面实施日期"/>
    <w:basedOn w:val="1"/>
    <w:qFormat/>
    <w:uiPriority w:val="0"/>
    <w:pPr>
      <w:spacing w:line="310" w:lineRule="exact"/>
      <w:jc w:val="right"/>
    </w:pPr>
    <w:rPr>
      <w:rFonts w:ascii="黑体" w:eastAsia="黑体"/>
      <w:sz w:val="28"/>
    </w:rPr>
  </w:style>
  <w:style w:type="paragraph" w:customStyle="1" w:styleId="80">
    <w:name w:val="标准文件_封面抬头"/>
    <w:basedOn w:val="61"/>
    <w:qFormat/>
    <w:uiPriority w:val="0"/>
    <w:pPr>
      <w:adjustRightInd w:val="0"/>
      <w:spacing w:line="800" w:lineRule="exact"/>
      <w:ind w:firstLine="0" w:firstLineChars="0"/>
      <w:jc w:val="distribute"/>
    </w:pPr>
    <w:rPr>
      <w:rFonts w:ascii="黑体" w:eastAsia="黑体"/>
      <w:b/>
      <w:sz w:val="64"/>
    </w:rPr>
  </w:style>
  <w:style w:type="paragraph" w:customStyle="1" w:styleId="81">
    <w:name w:val="标准文件_附录标识"/>
    <w:next w:val="61"/>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82">
    <w:name w:val="标准文件_附录表标题"/>
    <w:next w:val="61"/>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83">
    <w:name w:val="标准文件_附录一级条标题"/>
    <w:next w:val="61"/>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4">
    <w:name w:val="标准文件_附录二级条标题"/>
    <w:basedOn w:val="83"/>
    <w:next w:val="61"/>
    <w:qFormat/>
    <w:uiPriority w:val="0"/>
    <w:pPr>
      <w:widowControl/>
      <w:numPr>
        <w:ilvl w:val="2"/>
      </w:numPr>
      <w:wordWrap w:val="0"/>
      <w:overflowPunct w:val="0"/>
      <w:autoSpaceDE w:val="0"/>
      <w:autoSpaceDN w:val="0"/>
      <w:textAlignment w:val="baseline"/>
      <w:outlineLvl w:val="3"/>
    </w:pPr>
  </w:style>
  <w:style w:type="paragraph" w:customStyle="1" w:styleId="85">
    <w:name w:val="标准文件_附录公式"/>
    <w:basedOn w:val="60"/>
    <w:next w:val="60"/>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6">
    <w:name w:val="标准文件_附录三级条标题"/>
    <w:next w:val="61"/>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7">
    <w:name w:val="标准文件_附录四级条标题"/>
    <w:next w:val="61"/>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8">
    <w:name w:val="标准文件_附录图标题"/>
    <w:next w:val="61"/>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9">
    <w:name w:val="标准文件_附录五级条标题"/>
    <w:next w:val="61"/>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90">
    <w:name w:val="标准文件_附录英文标识"/>
    <w:next w:val="14"/>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91">
    <w:name w:val="正文文本 Char"/>
    <w:link w:val="14"/>
    <w:qFormat/>
    <w:uiPriority w:val="0"/>
    <w:rPr>
      <w:kern w:val="2"/>
      <w:sz w:val="21"/>
      <w:szCs w:val="21"/>
    </w:rPr>
  </w:style>
  <w:style w:type="paragraph" w:customStyle="1" w:styleId="92">
    <w:name w:val="标准文件_附录章标题"/>
    <w:next w:val="61"/>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3">
    <w:name w:val="标准文件_公式后的破折号"/>
    <w:basedOn w:val="61"/>
    <w:next w:val="61"/>
    <w:qFormat/>
    <w:uiPriority w:val="0"/>
    <w:pPr>
      <w:ind w:left="488" w:leftChars="200" w:hanging="289" w:hangingChars="290"/>
    </w:pPr>
  </w:style>
  <w:style w:type="paragraph" w:customStyle="1" w:styleId="94">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5">
    <w:name w:val="标准文件_目次、标准名称标题"/>
    <w:basedOn w:val="94"/>
    <w:next w:val="61"/>
    <w:qFormat/>
    <w:uiPriority w:val="0"/>
    <w:pPr>
      <w:spacing w:line="460" w:lineRule="exact"/>
      <w:ind w:left="0" w:firstLine="0"/>
    </w:pPr>
  </w:style>
  <w:style w:type="paragraph" w:customStyle="1" w:styleId="96">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7">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8">
    <w:name w:val="标准文件_破折号列项（二级）"/>
    <w:basedOn w:val="97"/>
    <w:qFormat/>
    <w:uiPriority w:val="0"/>
    <w:pPr>
      <w:numPr>
        <w:numId w:val="10"/>
      </w:numPr>
    </w:pPr>
  </w:style>
  <w:style w:type="paragraph" w:customStyle="1" w:styleId="99">
    <w:name w:val="标准文件_三级条标题"/>
    <w:basedOn w:val="70"/>
    <w:next w:val="61"/>
    <w:qFormat/>
    <w:uiPriority w:val="0"/>
    <w:pPr>
      <w:widowControl/>
      <w:numPr>
        <w:ilvl w:val="4"/>
      </w:numPr>
      <w:outlineLvl w:val="3"/>
    </w:pPr>
  </w:style>
  <w:style w:type="character" w:customStyle="1" w:styleId="100">
    <w:name w:val="不明显参考1"/>
    <w:qFormat/>
    <w:uiPriority w:val="31"/>
    <w:rPr>
      <w:smallCaps/>
      <w:color w:val="C0504D"/>
      <w:u w:val="single"/>
    </w:rPr>
  </w:style>
  <w:style w:type="paragraph" w:customStyle="1" w:styleId="101">
    <w:name w:val="标准文件_示例后续"/>
    <w:basedOn w:val="1"/>
    <w:qFormat/>
    <w:uiPriority w:val="0"/>
    <w:pPr>
      <w:adjustRightInd/>
      <w:spacing w:line="240" w:lineRule="auto"/>
      <w:ind w:firstLine="200" w:firstLineChars="200"/>
    </w:pPr>
    <w:rPr>
      <w:sz w:val="18"/>
      <w:szCs w:val="24"/>
    </w:rPr>
  </w:style>
  <w:style w:type="paragraph" w:customStyle="1" w:styleId="102">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3">
    <w:name w:val="标准文件_四级条标题"/>
    <w:next w:val="61"/>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4">
    <w:name w:val="脚注文本 Char"/>
    <w:link w:val="23"/>
    <w:semiHidden/>
    <w:qFormat/>
    <w:uiPriority w:val="0"/>
    <w:rPr>
      <w:rFonts w:ascii="宋体"/>
      <w:kern w:val="2"/>
      <w:sz w:val="18"/>
      <w:szCs w:val="18"/>
    </w:rPr>
  </w:style>
  <w:style w:type="paragraph" w:customStyle="1" w:styleId="105">
    <w:name w:val="标准文件_条文脚注"/>
    <w:basedOn w:val="23"/>
    <w:qFormat/>
    <w:uiPriority w:val="0"/>
    <w:pPr>
      <w:adjustRightInd w:val="0"/>
      <w:spacing w:line="240" w:lineRule="auto"/>
      <w:ind w:left="0" w:leftChars="0" w:firstLine="200" w:firstLineChars="200"/>
      <w:jc w:val="both"/>
    </w:pPr>
    <w:rPr>
      <w:rFonts w:hAnsi="宋体"/>
    </w:rPr>
  </w:style>
  <w:style w:type="paragraph" w:customStyle="1" w:styleId="106">
    <w:name w:val="标准文件_图表脚注"/>
    <w:basedOn w:val="1"/>
    <w:next w:val="61"/>
    <w:qFormat/>
    <w:uiPriority w:val="0"/>
    <w:pPr>
      <w:numPr>
        <w:ilvl w:val="0"/>
        <w:numId w:val="12"/>
      </w:numPr>
      <w:spacing w:line="240" w:lineRule="auto"/>
      <w:jc w:val="left"/>
    </w:pPr>
    <w:rPr>
      <w:rFonts w:ascii="宋体" w:hAnsi="宋体"/>
      <w:sz w:val="18"/>
    </w:rPr>
  </w:style>
  <w:style w:type="character" w:customStyle="1" w:styleId="107">
    <w:name w:val="标准文件_图表脚注内容"/>
    <w:qFormat/>
    <w:uiPriority w:val="0"/>
    <w:rPr>
      <w:rFonts w:ascii="宋体" w:hAnsi="宋体" w:eastAsia="宋体" w:cs="Times New Roman"/>
      <w:spacing w:val="0"/>
      <w:sz w:val="18"/>
      <w:vertAlign w:val="superscript"/>
    </w:rPr>
  </w:style>
  <w:style w:type="paragraph" w:customStyle="1" w:styleId="108">
    <w:name w:val="标准文件_五级条标题"/>
    <w:next w:val="61"/>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9">
    <w:name w:val="标准文件_章标题"/>
    <w:next w:val="61"/>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10">
    <w:name w:val="标准文件_一级条标题"/>
    <w:basedOn w:val="109"/>
    <w:next w:val="61"/>
    <w:qFormat/>
    <w:uiPriority w:val="0"/>
    <w:pPr>
      <w:numPr>
        <w:ilvl w:val="2"/>
      </w:numPr>
      <w:spacing w:before="50" w:beforeLines="50" w:after="50" w:afterLines="50"/>
      <w:outlineLvl w:val="1"/>
    </w:pPr>
  </w:style>
  <w:style w:type="paragraph" w:customStyle="1" w:styleId="111">
    <w:name w:val="标准文件_一致程度"/>
    <w:basedOn w:val="1"/>
    <w:qFormat/>
    <w:uiPriority w:val="0"/>
    <w:pPr>
      <w:spacing w:line="440" w:lineRule="exact"/>
      <w:jc w:val="center"/>
    </w:pPr>
    <w:rPr>
      <w:sz w:val="28"/>
    </w:rPr>
  </w:style>
  <w:style w:type="paragraph" w:customStyle="1" w:styleId="112">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3">
    <w:name w:val="标准文件_英文图表脚注"/>
    <w:basedOn w:val="60"/>
    <w:qFormat/>
    <w:uiPriority w:val="0"/>
    <w:pPr>
      <w:widowControl/>
      <w:adjustRightInd/>
      <w:snapToGrid/>
      <w:spacing w:line="240" w:lineRule="auto"/>
      <w:ind w:left="79" w:hanging="79" w:hangingChars="80"/>
    </w:pPr>
    <w:rPr>
      <w:rFonts w:ascii="宋体" w:hAnsi="宋体"/>
    </w:rPr>
  </w:style>
  <w:style w:type="paragraph" w:customStyle="1" w:styleId="114">
    <w:name w:val="标准文件_数字编号列项（二级）"/>
    <w:qFormat/>
    <w:uiPriority w:val="0"/>
    <w:pPr>
      <w:numPr>
        <w:ilvl w:val="1"/>
        <w:numId w:val="13"/>
      </w:numPr>
      <w:tabs>
        <w:tab w:val="left" w:pos="851"/>
      </w:tabs>
      <w:jc w:val="both"/>
    </w:pPr>
    <w:rPr>
      <w:rFonts w:ascii="宋体" w:hAnsi="Times New Roman" w:eastAsia="宋体" w:cs="Times New Roman"/>
      <w:sz w:val="21"/>
      <w:lang w:val="en-US" w:eastAsia="zh-CN" w:bidi="ar-SA"/>
    </w:rPr>
  </w:style>
  <w:style w:type="paragraph" w:customStyle="1" w:styleId="115">
    <w:name w:val="标准文件_英文注："/>
    <w:basedOn w:val="1"/>
    <w:next w:val="61"/>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6">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7">
    <w:name w:val="标准文件_正文表标题"/>
    <w:next w:val="61"/>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8">
    <w:name w:val="标准文件_正文公式"/>
    <w:basedOn w:val="1"/>
    <w:next w:val="60"/>
    <w:qFormat/>
    <w:uiPriority w:val="0"/>
    <w:pPr>
      <w:tabs>
        <w:tab w:val="center" w:pos="4678"/>
        <w:tab w:val="right" w:leader="middleDot" w:pos="9356"/>
      </w:tabs>
      <w:spacing w:line="240" w:lineRule="auto"/>
    </w:pPr>
    <w:rPr>
      <w:rFonts w:ascii="宋体" w:hAnsi="宋体"/>
    </w:rPr>
  </w:style>
  <w:style w:type="paragraph" w:customStyle="1" w:styleId="119">
    <w:name w:val="标准文件_正文图标题"/>
    <w:next w:val="61"/>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20">
    <w:name w:val="标准文件_正文英文表标题"/>
    <w:next w:val="61"/>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21">
    <w:name w:val="标准文件_正文英文图标题"/>
    <w:next w:val="61"/>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22">
    <w:name w:val="标准文件_编号列项（三级）"/>
    <w:qFormat/>
    <w:uiPriority w:val="0"/>
    <w:pPr>
      <w:numPr>
        <w:ilvl w:val="2"/>
        <w:numId w:val="13"/>
      </w:numPr>
      <w:tabs>
        <w:tab w:val="left" w:pos="851"/>
      </w:tabs>
    </w:pPr>
    <w:rPr>
      <w:rFonts w:ascii="宋体" w:hAnsi="Times New Roman" w:eastAsia="宋体" w:cs="Times New Roman"/>
      <w:sz w:val="21"/>
      <w:lang w:val="en-US" w:eastAsia="zh-CN" w:bidi="ar-SA"/>
    </w:rPr>
  </w:style>
  <w:style w:type="paragraph" w:customStyle="1" w:styleId="123">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4">
    <w:name w:val="发布部门"/>
    <w:next w:val="61"/>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5">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6">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9">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30">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31">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32">
    <w:name w:val="封面正文"/>
    <w:qFormat/>
    <w:uiPriority w:val="0"/>
    <w:pPr>
      <w:jc w:val="both"/>
    </w:pPr>
    <w:rPr>
      <w:rFonts w:ascii="Times New Roman" w:hAnsi="Times New Roman" w:eastAsia="宋体" w:cs="Times New Roman"/>
      <w:lang w:val="en-US" w:eastAsia="zh-CN" w:bidi="ar-SA"/>
    </w:rPr>
  </w:style>
  <w:style w:type="paragraph" w:customStyle="1" w:styleId="133">
    <w:name w:val="附录二级无标题条"/>
    <w:basedOn w:val="1"/>
    <w:next w:val="61"/>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4">
    <w:name w:val="附录三级无标题条"/>
    <w:basedOn w:val="133"/>
    <w:next w:val="61"/>
    <w:qFormat/>
    <w:uiPriority w:val="0"/>
    <w:pPr>
      <w:outlineLvl w:val="4"/>
    </w:pPr>
  </w:style>
  <w:style w:type="paragraph" w:customStyle="1" w:styleId="135">
    <w:name w:val="附录四级无标题条"/>
    <w:basedOn w:val="134"/>
    <w:next w:val="61"/>
    <w:qFormat/>
    <w:uiPriority w:val="0"/>
    <w:pPr>
      <w:outlineLvl w:val="5"/>
    </w:pPr>
  </w:style>
  <w:style w:type="paragraph" w:customStyle="1" w:styleId="136">
    <w:name w:val="附录图"/>
    <w:next w:val="61"/>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7">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8">
    <w:name w:val="附录五级无标题条"/>
    <w:basedOn w:val="135"/>
    <w:next w:val="61"/>
    <w:qFormat/>
    <w:uiPriority w:val="0"/>
    <w:pPr>
      <w:outlineLvl w:val="6"/>
    </w:pPr>
  </w:style>
  <w:style w:type="paragraph" w:customStyle="1" w:styleId="139">
    <w:name w:val="附录性质"/>
    <w:basedOn w:val="1"/>
    <w:qFormat/>
    <w:uiPriority w:val="0"/>
    <w:pPr>
      <w:widowControl/>
      <w:adjustRightInd/>
      <w:jc w:val="center"/>
    </w:pPr>
    <w:rPr>
      <w:rFonts w:ascii="黑体" w:eastAsia="黑体"/>
    </w:rPr>
  </w:style>
  <w:style w:type="paragraph" w:customStyle="1" w:styleId="140">
    <w:name w:val="附录一级无标题条"/>
    <w:basedOn w:val="92"/>
    <w:next w:val="61"/>
    <w:qFormat/>
    <w:uiPriority w:val="0"/>
    <w:pPr>
      <w:autoSpaceDN w:val="0"/>
      <w:outlineLvl w:val="2"/>
    </w:pPr>
    <w:rPr>
      <w:rFonts w:ascii="宋体" w:hAnsi="宋体" w:eastAsia="宋体"/>
    </w:rPr>
  </w:style>
  <w:style w:type="character" w:customStyle="1" w:styleId="141">
    <w:name w:val="个人答复风格"/>
    <w:qFormat/>
    <w:uiPriority w:val="0"/>
    <w:rPr>
      <w:rFonts w:ascii="Arial" w:hAnsi="Arial" w:eastAsia="宋体" w:cs="Arial"/>
      <w:color w:val="auto"/>
      <w:spacing w:val="0"/>
      <w:sz w:val="20"/>
    </w:rPr>
  </w:style>
  <w:style w:type="character" w:customStyle="1" w:styleId="142">
    <w:name w:val="个人撰写风格"/>
    <w:qFormat/>
    <w:uiPriority w:val="0"/>
    <w:rPr>
      <w:rFonts w:ascii="Arial" w:hAnsi="Arial" w:eastAsia="宋体" w:cs="Arial"/>
      <w:color w:val="auto"/>
      <w:spacing w:val="0"/>
      <w:sz w:val="20"/>
    </w:rPr>
  </w:style>
  <w:style w:type="paragraph" w:customStyle="1" w:styleId="143">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4">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5">
    <w:name w:val="列项·"/>
    <w:basedOn w:val="61"/>
    <w:qFormat/>
    <w:uiPriority w:val="0"/>
    <w:pPr>
      <w:tabs>
        <w:tab w:val="left" w:pos="840"/>
      </w:tabs>
    </w:pPr>
  </w:style>
  <w:style w:type="paragraph" w:customStyle="1" w:styleId="14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7">
    <w:name w:val="目录 21"/>
    <w:basedOn w:val="1"/>
    <w:next w:val="1"/>
    <w:autoRedefine/>
    <w:semiHidden/>
    <w:qFormat/>
    <w:uiPriority w:val="0"/>
    <w:pPr>
      <w:adjustRightInd/>
      <w:spacing w:line="240" w:lineRule="auto"/>
      <w:jc w:val="left"/>
    </w:pPr>
    <w:rPr>
      <w:bCs/>
      <w:iCs/>
    </w:rPr>
  </w:style>
  <w:style w:type="paragraph" w:customStyle="1" w:styleId="148">
    <w:name w:val="目录 31"/>
    <w:basedOn w:val="1"/>
    <w:next w:val="1"/>
    <w:autoRedefine/>
    <w:semiHidden/>
    <w:qFormat/>
    <w:uiPriority w:val="0"/>
    <w:pPr>
      <w:spacing w:line="240" w:lineRule="auto"/>
    </w:pPr>
    <w:rPr>
      <w:rFonts w:ascii="宋体" w:hAnsi="宋体"/>
      <w:iCs/>
    </w:rPr>
  </w:style>
  <w:style w:type="paragraph" w:customStyle="1" w:styleId="149">
    <w:name w:val="目录 41"/>
    <w:basedOn w:val="1"/>
    <w:next w:val="1"/>
    <w:autoRedefine/>
    <w:semiHidden/>
    <w:qFormat/>
    <w:uiPriority w:val="0"/>
    <w:pPr>
      <w:adjustRightInd/>
      <w:spacing w:line="240" w:lineRule="auto"/>
      <w:jc w:val="left"/>
    </w:pPr>
  </w:style>
  <w:style w:type="paragraph" w:customStyle="1" w:styleId="150">
    <w:name w:val="目录 51"/>
    <w:basedOn w:val="1"/>
    <w:next w:val="1"/>
    <w:autoRedefine/>
    <w:semiHidden/>
    <w:qFormat/>
    <w:uiPriority w:val="0"/>
    <w:pPr>
      <w:spacing w:line="240" w:lineRule="auto"/>
    </w:pPr>
    <w:rPr>
      <w:rFonts w:ascii="宋体" w:hAnsi="宋体"/>
    </w:rPr>
  </w:style>
  <w:style w:type="paragraph" w:customStyle="1" w:styleId="151">
    <w:name w:val="目录 61"/>
    <w:basedOn w:val="1"/>
    <w:next w:val="1"/>
    <w:autoRedefine/>
    <w:semiHidden/>
    <w:qFormat/>
    <w:uiPriority w:val="0"/>
    <w:pPr>
      <w:adjustRightInd/>
      <w:spacing w:line="240" w:lineRule="auto"/>
      <w:jc w:val="left"/>
    </w:pPr>
  </w:style>
  <w:style w:type="paragraph" w:customStyle="1" w:styleId="152">
    <w:name w:val="目录 71"/>
    <w:basedOn w:val="151"/>
    <w:autoRedefine/>
    <w:semiHidden/>
    <w:qFormat/>
    <w:uiPriority w:val="0"/>
    <w:pPr>
      <w:ind w:left="1260"/>
    </w:pPr>
  </w:style>
  <w:style w:type="paragraph" w:customStyle="1" w:styleId="153">
    <w:name w:val="目录 81"/>
    <w:basedOn w:val="152"/>
    <w:autoRedefine/>
    <w:semiHidden/>
    <w:qFormat/>
    <w:uiPriority w:val="0"/>
    <w:pPr>
      <w:ind w:left="1470"/>
    </w:pPr>
  </w:style>
  <w:style w:type="paragraph" w:customStyle="1" w:styleId="154">
    <w:name w:val="目录 91"/>
    <w:basedOn w:val="153"/>
    <w:autoRedefine/>
    <w:semiHidden/>
    <w:qFormat/>
    <w:uiPriority w:val="0"/>
    <w:pPr>
      <w:ind w:left="1680"/>
    </w:pPr>
  </w:style>
  <w:style w:type="paragraph" w:customStyle="1" w:styleId="15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6">
    <w:name w:val="其他发布部门"/>
    <w:basedOn w:val="124"/>
    <w:qFormat/>
    <w:uiPriority w:val="0"/>
    <w:pPr>
      <w:framePr w:wrap="around"/>
      <w:spacing w:line="0" w:lineRule="atLeast"/>
    </w:pPr>
    <w:rPr>
      <w:rFonts w:ascii="黑体" w:eastAsia="黑体"/>
      <w:b w:val="0"/>
    </w:rPr>
  </w:style>
  <w:style w:type="paragraph" w:customStyle="1" w:styleId="157">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8">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9">
    <w:name w:val="实施日期"/>
    <w:basedOn w:val="125"/>
    <w:qFormat/>
    <w:uiPriority w:val="0"/>
    <w:pPr>
      <w:framePr w:hSpace="0" w:wrap="around" w:xAlign="right"/>
      <w:jc w:val="right"/>
    </w:pPr>
  </w:style>
  <w:style w:type="paragraph" w:customStyle="1" w:styleId="160">
    <w:name w:val="四级无标题条"/>
    <w:basedOn w:val="1"/>
    <w:qFormat/>
    <w:uiPriority w:val="0"/>
    <w:pPr>
      <w:numPr>
        <w:ilvl w:val="5"/>
        <w:numId w:val="20"/>
      </w:numPr>
      <w:adjustRightInd/>
      <w:spacing w:line="240" w:lineRule="auto"/>
    </w:pPr>
    <w:rPr>
      <w:rFonts w:ascii="宋体" w:hAnsi="宋体"/>
      <w:szCs w:val="24"/>
    </w:rPr>
  </w:style>
  <w:style w:type="paragraph" w:customStyle="1" w:styleId="161">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62">
    <w:name w:val="无标题条"/>
    <w:next w:val="61"/>
    <w:qFormat/>
    <w:uiPriority w:val="0"/>
    <w:pPr>
      <w:jc w:val="both"/>
    </w:pPr>
    <w:rPr>
      <w:rFonts w:ascii="宋体" w:hAnsi="宋体" w:eastAsia="宋体" w:cs="Times New Roman"/>
      <w:sz w:val="21"/>
      <w:lang w:val="en-US" w:eastAsia="zh-CN" w:bidi="ar-SA"/>
    </w:rPr>
  </w:style>
  <w:style w:type="paragraph" w:customStyle="1" w:styleId="163">
    <w:name w:val="五级无标题条"/>
    <w:basedOn w:val="1"/>
    <w:qFormat/>
    <w:uiPriority w:val="0"/>
    <w:pPr>
      <w:numPr>
        <w:ilvl w:val="6"/>
        <w:numId w:val="20"/>
      </w:numPr>
      <w:adjustRightInd/>
    </w:pPr>
    <w:rPr>
      <w:szCs w:val="24"/>
    </w:rPr>
  </w:style>
  <w:style w:type="paragraph" w:customStyle="1" w:styleId="164">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5">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6">
    <w:name w:val="注×:后续"/>
    <w:basedOn w:val="165"/>
    <w:qFormat/>
    <w:uiPriority w:val="0"/>
    <w:pPr>
      <w:ind w:left="1406" w:leftChars="0" w:hanging="499" w:firstLineChars="0"/>
    </w:pPr>
  </w:style>
  <w:style w:type="paragraph" w:customStyle="1" w:styleId="167">
    <w:name w:val="标准文件_一级无标题"/>
    <w:basedOn w:val="110"/>
    <w:qFormat/>
    <w:uiPriority w:val="0"/>
    <w:pPr>
      <w:spacing w:before="0" w:beforeLines="0" w:after="0" w:afterLines="0"/>
      <w:outlineLvl w:val="9"/>
    </w:pPr>
    <w:rPr>
      <w:rFonts w:ascii="宋体" w:eastAsia="宋体"/>
    </w:rPr>
  </w:style>
  <w:style w:type="paragraph" w:customStyle="1" w:styleId="168">
    <w:name w:val="标准文件_五级无标题"/>
    <w:basedOn w:val="108"/>
    <w:qFormat/>
    <w:uiPriority w:val="0"/>
    <w:pPr>
      <w:spacing w:before="0" w:beforeLines="0" w:after="0" w:afterLines="0"/>
      <w:outlineLvl w:val="9"/>
    </w:pPr>
    <w:rPr>
      <w:rFonts w:ascii="宋体" w:eastAsia="宋体"/>
    </w:rPr>
  </w:style>
  <w:style w:type="paragraph" w:customStyle="1" w:styleId="169">
    <w:name w:val="标准文件_三级无标题"/>
    <w:basedOn w:val="99"/>
    <w:qFormat/>
    <w:uiPriority w:val="0"/>
    <w:pPr>
      <w:spacing w:before="0" w:beforeLines="0" w:after="0" w:afterLines="0"/>
      <w:outlineLvl w:val="9"/>
    </w:pPr>
    <w:rPr>
      <w:rFonts w:ascii="宋体" w:eastAsia="宋体"/>
    </w:rPr>
  </w:style>
  <w:style w:type="paragraph" w:customStyle="1" w:styleId="170">
    <w:name w:val="标准文件_二级无标题"/>
    <w:basedOn w:val="70"/>
    <w:qFormat/>
    <w:uiPriority w:val="0"/>
    <w:pPr>
      <w:spacing w:before="0" w:beforeLines="0" w:after="0" w:afterLines="0"/>
      <w:outlineLvl w:val="9"/>
    </w:pPr>
    <w:rPr>
      <w:rFonts w:ascii="宋体" w:eastAsia="宋体"/>
    </w:rPr>
  </w:style>
  <w:style w:type="paragraph" w:customStyle="1" w:styleId="171">
    <w:name w:val="标准_四级无标题"/>
    <w:basedOn w:val="103"/>
    <w:next w:val="61"/>
    <w:qFormat/>
    <w:uiPriority w:val="0"/>
    <w:rPr>
      <w:rFonts w:eastAsia="宋体"/>
    </w:rPr>
  </w:style>
  <w:style w:type="paragraph" w:customStyle="1" w:styleId="172">
    <w:name w:val="标准文件_四级无标题"/>
    <w:basedOn w:val="103"/>
    <w:qFormat/>
    <w:uiPriority w:val="0"/>
    <w:pPr>
      <w:spacing w:before="0" w:beforeLines="0" w:after="0" w:afterLines="0"/>
      <w:outlineLvl w:val="9"/>
    </w:pPr>
    <w:rPr>
      <w:rFonts w:ascii="宋体" w:hAnsi="黑体" w:eastAsia="宋体"/>
      <w:szCs w:val="52"/>
    </w:rPr>
  </w:style>
  <w:style w:type="paragraph" w:customStyle="1" w:styleId="173">
    <w:name w:val="标准文件_大写罗马数字编号列项"/>
    <w:basedOn w:val="61"/>
    <w:qFormat/>
    <w:uiPriority w:val="0"/>
    <w:pPr>
      <w:numPr>
        <w:ilvl w:val="0"/>
        <w:numId w:val="23"/>
      </w:numPr>
      <w:ind w:firstLine="0" w:firstLineChars="0"/>
    </w:pPr>
    <w:rPr>
      <w:rFonts w:ascii="Times New Roman" w:cs="Arial"/>
      <w:szCs w:val="28"/>
    </w:rPr>
  </w:style>
  <w:style w:type="paragraph" w:customStyle="1" w:styleId="174">
    <w:name w:val="标准文件_小写罗马数字编号列项"/>
    <w:basedOn w:val="61"/>
    <w:qFormat/>
    <w:uiPriority w:val="0"/>
    <w:pPr>
      <w:numPr>
        <w:ilvl w:val="0"/>
        <w:numId w:val="24"/>
      </w:numPr>
      <w:ind w:firstLine="0" w:firstLineChars="0"/>
    </w:pPr>
    <w:rPr>
      <w:rFonts w:cs="Arial"/>
      <w:szCs w:val="28"/>
    </w:rPr>
  </w:style>
  <w:style w:type="paragraph" w:customStyle="1" w:styleId="175">
    <w:name w:val="标准文件_附录标题"/>
    <w:basedOn w:val="81"/>
    <w:qFormat/>
    <w:uiPriority w:val="0"/>
    <w:pPr>
      <w:numPr>
        <w:numId w:val="0"/>
      </w:numPr>
      <w:spacing w:after="280"/>
      <w:outlineLvl w:val="9"/>
    </w:pPr>
  </w:style>
  <w:style w:type="paragraph" w:customStyle="1" w:styleId="176">
    <w:name w:val="标准文件_二级项"/>
    <w:qFormat/>
    <w:uiPriority w:val="0"/>
    <w:rPr>
      <w:rFonts w:ascii="宋体" w:hAnsi="Times New Roman" w:eastAsia="宋体" w:cs="Times New Roman"/>
      <w:sz w:val="21"/>
      <w:lang w:val="en-US" w:eastAsia="zh-CN" w:bidi="ar-SA"/>
    </w:rPr>
  </w:style>
  <w:style w:type="paragraph" w:customStyle="1" w:styleId="177">
    <w:name w:val="标准文件_三级项"/>
    <w:basedOn w:val="1"/>
    <w:qFormat/>
    <w:uiPriority w:val="0"/>
    <w:pPr>
      <w:numPr>
        <w:ilvl w:val="2"/>
        <w:numId w:val="21"/>
      </w:numPr>
      <w:spacing w:line="536870612" w:lineRule="auto"/>
    </w:pPr>
    <w:rPr>
      <w:rFonts w:ascii="Times New Roman" w:hAnsi="Times New Roman"/>
    </w:rPr>
  </w:style>
  <w:style w:type="paragraph" w:customStyle="1" w:styleId="178">
    <w:name w:val="图表脚注说明"/>
    <w:basedOn w:val="1"/>
    <w:next w:val="61"/>
    <w:qFormat/>
    <w:uiPriority w:val="0"/>
    <w:pPr>
      <w:numPr>
        <w:ilvl w:val="0"/>
        <w:numId w:val="25"/>
      </w:numPr>
      <w:adjustRightInd/>
      <w:spacing w:line="240" w:lineRule="auto"/>
    </w:pPr>
    <w:rPr>
      <w:rFonts w:ascii="宋体" w:hAnsi="Times New Roman"/>
      <w:sz w:val="18"/>
      <w:szCs w:val="18"/>
    </w:rPr>
  </w:style>
  <w:style w:type="paragraph" w:customStyle="1" w:styleId="179">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80">
    <w:name w:val="标准文件_索引字母"/>
    <w:next w:val="61"/>
    <w:qFormat/>
    <w:uiPriority w:val="0"/>
    <w:pPr>
      <w:jc w:val="center"/>
    </w:pPr>
    <w:rPr>
      <w:rFonts w:ascii="宋体" w:hAnsi="宋体" w:eastAsia="Times New Roman" w:cs="Times New Roman"/>
      <w:b/>
      <w:kern w:val="2"/>
      <w:sz w:val="21"/>
      <w:lang w:val="en-US" w:eastAsia="zh-CN" w:bidi="ar-SA"/>
    </w:rPr>
  </w:style>
  <w:style w:type="paragraph" w:customStyle="1" w:styleId="181">
    <w:name w:val="标准文件_附录前"/>
    <w:next w:val="61"/>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82">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3">
    <w:name w:val="标准文件_表格"/>
    <w:basedOn w:val="61"/>
    <w:qFormat/>
    <w:uiPriority w:val="0"/>
    <w:pPr>
      <w:ind w:firstLine="0" w:firstLineChars="0"/>
      <w:jc w:val="center"/>
    </w:pPr>
    <w:rPr>
      <w:sz w:val="18"/>
    </w:rPr>
  </w:style>
  <w:style w:type="paragraph" w:customStyle="1" w:styleId="184">
    <w:name w:val="标准文件_注："/>
    <w:next w:val="61"/>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5">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6">
    <w:name w:val="标准文件_示例："/>
    <w:next w:val="187"/>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7">
    <w:name w:val="标准文件_示例内容"/>
    <w:basedOn w:val="61"/>
    <w:qFormat/>
    <w:uiPriority w:val="0"/>
    <w:pPr>
      <w:ind w:firstLine="420"/>
    </w:pPr>
    <w:rPr>
      <w:sz w:val="18"/>
    </w:rPr>
  </w:style>
  <w:style w:type="paragraph" w:customStyle="1" w:styleId="188">
    <w:name w:val="标准文件_示例×："/>
    <w:basedOn w:val="1"/>
    <w:next w:val="187"/>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9">
    <w:name w:val="标准文件_段 Char"/>
    <w:link w:val="61"/>
    <w:qFormat/>
    <w:uiPriority w:val="0"/>
    <w:rPr>
      <w:rFonts w:ascii="宋体" w:hAnsi="Times New Roman"/>
      <w:sz w:val="21"/>
    </w:rPr>
  </w:style>
  <w:style w:type="paragraph" w:customStyle="1" w:styleId="190">
    <w:name w:val="标准文件_表格续"/>
    <w:basedOn w:val="61"/>
    <w:next w:val="61"/>
    <w:qFormat/>
    <w:uiPriority w:val="0"/>
    <w:pPr>
      <w:jc w:val="center"/>
    </w:pPr>
    <w:rPr>
      <w:rFonts w:ascii="黑体" w:hAnsi="黑体" w:eastAsia="黑体"/>
    </w:rPr>
  </w:style>
  <w:style w:type="character" w:styleId="191">
    <w:name w:val="Placeholder Text"/>
    <w:basedOn w:val="32"/>
    <w:semiHidden/>
    <w:qFormat/>
    <w:uiPriority w:val="99"/>
    <w:rPr>
      <w:color w:val="808080"/>
    </w:rPr>
  </w:style>
  <w:style w:type="paragraph" w:customStyle="1" w:styleId="192">
    <w:name w:val="标准文件_二级项2"/>
    <w:basedOn w:val="61"/>
    <w:qFormat/>
    <w:uiPriority w:val="0"/>
    <w:pPr>
      <w:numPr>
        <w:ilvl w:val="1"/>
        <w:numId w:val="21"/>
      </w:numPr>
      <w:ind w:firstLine="0" w:firstLineChars="0"/>
    </w:pPr>
  </w:style>
  <w:style w:type="paragraph" w:customStyle="1" w:styleId="193">
    <w:name w:val="标准文件_三级项2"/>
    <w:basedOn w:val="61"/>
    <w:qFormat/>
    <w:uiPriority w:val="0"/>
    <w:pPr>
      <w:numPr>
        <w:ilvl w:val="0"/>
        <w:numId w:val="30"/>
      </w:numPr>
      <w:spacing w:line="300" w:lineRule="exact"/>
      <w:ind w:firstLineChars="0"/>
    </w:pPr>
    <w:rPr>
      <w:rFonts w:ascii="Times New Roman"/>
    </w:rPr>
  </w:style>
  <w:style w:type="paragraph" w:customStyle="1" w:styleId="194">
    <w:name w:val="标准文件_一级项2"/>
    <w:basedOn w:val="61"/>
    <w:qFormat/>
    <w:uiPriority w:val="0"/>
    <w:pPr>
      <w:numPr>
        <w:ilvl w:val="0"/>
        <w:numId w:val="31"/>
      </w:numPr>
      <w:spacing w:line="300" w:lineRule="exact"/>
      <w:ind w:firstLineChars="0"/>
    </w:pPr>
    <w:rPr>
      <w:rFonts w:ascii="Times New Roman"/>
    </w:rPr>
  </w:style>
  <w:style w:type="paragraph" w:customStyle="1" w:styleId="195">
    <w:name w:val="标准文件_提示"/>
    <w:basedOn w:val="61"/>
    <w:next w:val="61"/>
    <w:qFormat/>
    <w:uiPriority w:val="0"/>
    <w:pPr>
      <w:ind w:firstLine="420"/>
    </w:pPr>
    <w:rPr>
      <w:rFonts w:ascii="黑体" w:eastAsia="黑体"/>
    </w:rPr>
  </w:style>
  <w:style w:type="character" w:customStyle="1" w:styleId="196">
    <w:name w:val="标准文件_来源"/>
    <w:basedOn w:val="32"/>
    <w:qFormat/>
    <w:uiPriority w:val="1"/>
    <w:rPr>
      <w:rFonts w:eastAsia="宋体"/>
      <w:sz w:val="21"/>
    </w:rPr>
  </w:style>
  <w:style w:type="paragraph" w:customStyle="1" w:styleId="197">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8">
    <w:name w:val="其他发布日期"/>
    <w:basedOn w:val="125"/>
    <w:qFormat/>
    <w:uiPriority w:val="0"/>
    <w:pPr>
      <w:framePr w:w="3997" w:h="471" w:hRule="exact" w:hSpace="0" w:vSpace="181" w:wrap="around" w:vAnchor="page" w:hAnchor="page" w:x="1419" w:y="14097"/>
    </w:pPr>
  </w:style>
  <w:style w:type="paragraph" w:customStyle="1" w:styleId="199">
    <w:name w:val="其他实施日期"/>
    <w:basedOn w:val="159"/>
    <w:qFormat/>
    <w:uiPriority w:val="0"/>
    <w:pPr>
      <w:framePr w:w="3997" w:h="471" w:hRule="exact" w:vSpace="181" w:wrap="around" w:vAnchor="page" w:hAnchor="page" w:x="7089" w:y="14097"/>
    </w:pPr>
  </w:style>
  <w:style w:type="paragraph" w:customStyle="1" w:styleId="200">
    <w:name w:val="标准文件_文件编号"/>
    <w:basedOn w:val="61"/>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201">
    <w:name w:val="标准文件_替换文件编号"/>
    <w:basedOn w:val="200"/>
    <w:qFormat/>
    <w:uiPriority w:val="0"/>
    <w:pPr>
      <w:spacing w:before="57"/>
    </w:pPr>
    <w:rPr>
      <w:sz w:val="21"/>
    </w:rPr>
  </w:style>
  <w:style w:type="paragraph" w:customStyle="1" w:styleId="202">
    <w:name w:val="标准文件_文件名称"/>
    <w:basedOn w:val="61"/>
    <w:next w:val="61"/>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3">
    <w:name w:val="标准文件_附录图标号"/>
    <w:basedOn w:val="61"/>
    <w:next w:val="61"/>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4">
    <w:name w:val="标准文件_附录表标号"/>
    <w:basedOn w:val="61"/>
    <w:next w:val="61"/>
    <w:qFormat/>
    <w:uiPriority w:val="0"/>
    <w:pPr>
      <w:numPr>
        <w:ilvl w:val="0"/>
        <w:numId w:val="5"/>
      </w:numPr>
      <w:spacing w:line="14" w:lineRule="exact"/>
      <w:ind w:firstLine="0" w:firstLineChars="0"/>
      <w:jc w:val="center"/>
    </w:pPr>
    <w:rPr>
      <w:rFonts w:eastAsia="黑体"/>
      <w:vanish/>
      <w:sz w:val="2"/>
    </w:rPr>
  </w:style>
  <w:style w:type="paragraph" w:customStyle="1" w:styleId="205">
    <w:name w:val="标准文件_引言一级条标题"/>
    <w:basedOn w:val="61"/>
    <w:next w:val="61"/>
    <w:qFormat/>
    <w:uiPriority w:val="0"/>
    <w:pPr>
      <w:numPr>
        <w:ilvl w:val="1"/>
        <w:numId w:val="8"/>
      </w:numPr>
      <w:spacing w:before="50" w:beforeLines="50" w:after="50" w:afterLines="50"/>
      <w:ind w:firstLineChars="0"/>
    </w:pPr>
    <w:rPr>
      <w:rFonts w:ascii="黑体" w:eastAsia="黑体"/>
    </w:rPr>
  </w:style>
  <w:style w:type="paragraph" w:customStyle="1" w:styleId="206">
    <w:name w:val="标准文件_引言二级条标题"/>
    <w:basedOn w:val="61"/>
    <w:next w:val="61"/>
    <w:qFormat/>
    <w:uiPriority w:val="0"/>
    <w:pPr>
      <w:numPr>
        <w:ilvl w:val="2"/>
        <w:numId w:val="8"/>
      </w:numPr>
      <w:spacing w:before="50" w:beforeLines="50" w:after="50" w:afterLines="50"/>
      <w:ind w:firstLineChars="0"/>
    </w:pPr>
    <w:rPr>
      <w:rFonts w:ascii="黑体" w:eastAsia="黑体"/>
    </w:rPr>
  </w:style>
  <w:style w:type="paragraph" w:customStyle="1" w:styleId="207">
    <w:name w:val="标准文件_引言三级条标题"/>
    <w:basedOn w:val="61"/>
    <w:next w:val="61"/>
    <w:qFormat/>
    <w:uiPriority w:val="0"/>
    <w:pPr>
      <w:numPr>
        <w:ilvl w:val="3"/>
        <w:numId w:val="8"/>
      </w:numPr>
      <w:spacing w:before="50" w:beforeLines="50" w:after="50" w:afterLines="50"/>
      <w:ind w:firstLineChars="0"/>
    </w:pPr>
    <w:rPr>
      <w:rFonts w:ascii="黑体" w:eastAsia="黑体"/>
    </w:rPr>
  </w:style>
  <w:style w:type="paragraph" w:customStyle="1" w:styleId="208">
    <w:name w:val="标准文件_引言四级条标题"/>
    <w:basedOn w:val="61"/>
    <w:next w:val="61"/>
    <w:qFormat/>
    <w:uiPriority w:val="0"/>
    <w:pPr>
      <w:numPr>
        <w:ilvl w:val="4"/>
        <w:numId w:val="8"/>
      </w:numPr>
      <w:spacing w:before="50" w:beforeLines="50" w:after="50" w:afterLines="50"/>
      <w:ind w:firstLineChars="0"/>
    </w:pPr>
    <w:rPr>
      <w:rFonts w:ascii="黑体" w:eastAsia="黑体"/>
    </w:rPr>
  </w:style>
  <w:style w:type="paragraph" w:customStyle="1" w:styleId="209">
    <w:name w:val="标准文件_引言五级条标题"/>
    <w:basedOn w:val="61"/>
    <w:next w:val="61"/>
    <w:qFormat/>
    <w:uiPriority w:val="0"/>
    <w:pPr>
      <w:numPr>
        <w:ilvl w:val="5"/>
        <w:numId w:val="8"/>
      </w:numPr>
      <w:spacing w:before="50" w:beforeLines="50" w:after="50" w:afterLines="50"/>
      <w:ind w:firstLineChars="0"/>
    </w:pPr>
    <w:rPr>
      <w:rFonts w:ascii="黑体" w:eastAsia="黑体"/>
    </w:rPr>
  </w:style>
  <w:style w:type="paragraph" w:customStyle="1" w:styleId="210">
    <w:name w:val="标准文件_注后"/>
    <w:basedOn w:val="61"/>
    <w:qFormat/>
    <w:uiPriority w:val="0"/>
    <w:pPr>
      <w:ind w:left="811" w:firstLine="0" w:firstLineChars="0"/>
    </w:pPr>
    <w:rPr>
      <w:sz w:val="18"/>
    </w:rPr>
  </w:style>
  <w:style w:type="paragraph" w:customStyle="1" w:styleId="211">
    <w:name w:val="标准文件_注X后"/>
    <w:basedOn w:val="61"/>
    <w:qFormat/>
    <w:uiPriority w:val="0"/>
    <w:pPr>
      <w:ind w:left="811" w:firstLine="0" w:firstLineChars="0"/>
    </w:pPr>
    <w:rPr>
      <w:sz w:val="18"/>
    </w:rPr>
  </w:style>
  <w:style w:type="paragraph" w:customStyle="1" w:styleId="212">
    <w:name w:val="标准文件_示例后"/>
    <w:basedOn w:val="61"/>
    <w:qFormat/>
    <w:uiPriority w:val="0"/>
    <w:pPr>
      <w:ind w:left="964" w:firstLine="0" w:firstLineChars="0"/>
    </w:pPr>
    <w:rPr>
      <w:sz w:val="18"/>
    </w:rPr>
  </w:style>
  <w:style w:type="paragraph" w:customStyle="1" w:styleId="213">
    <w:name w:val="标准文件_示例X后"/>
    <w:basedOn w:val="61"/>
    <w:link w:val="214"/>
    <w:qFormat/>
    <w:uiPriority w:val="0"/>
    <w:pPr>
      <w:ind w:left="1049" w:firstLine="0" w:firstLineChars="0"/>
    </w:pPr>
    <w:rPr>
      <w:sz w:val="18"/>
    </w:rPr>
  </w:style>
  <w:style w:type="character" w:customStyle="1" w:styleId="214">
    <w:name w:val="标准文件_示例X后 字符"/>
    <w:basedOn w:val="189"/>
    <w:link w:val="213"/>
    <w:qFormat/>
    <w:uiPriority w:val="0"/>
    <w:rPr>
      <w:rFonts w:ascii="宋体" w:hAnsi="Times New Roman"/>
      <w:sz w:val="18"/>
    </w:rPr>
  </w:style>
  <w:style w:type="paragraph" w:customStyle="1" w:styleId="215">
    <w:name w:val="标准文件_索引项"/>
    <w:basedOn w:val="61"/>
    <w:next w:val="61"/>
    <w:qFormat/>
    <w:uiPriority w:val="0"/>
    <w:pPr>
      <w:tabs>
        <w:tab w:val="right" w:leader="dot" w:pos="9356"/>
      </w:tabs>
      <w:ind w:left="210" w:hanging="210" w:firstLineChars="0"/>
      <w:jc w:val="left"/>
    </w:pPr>
  </w:style>
  <w:style w:type="paragraph" w:customStyle="1" w:styleId="216">
    <w:name w:val="标准文件_附录一级无标题"/>
    <w:basedOn w:val="83"/>
    <w:qFormat/>
    <w:uiPriority w:val="0"/>
    <w:pPr>
      <w:spacing w:before="0" w:beforeLines="0" w:after="0" w:afterLines="0" w:line="276" w:lineRule="auto"/>
      <w:outlineLvl w:val="9"/>
    </w:pPr>
    <w:rPr>
      <w:rFonts w:ascii="宋体" w:eastAsia="宋体"/>
    </w:rPr>
  </w:style>
  <w:style w:type="paragraph" w:customStyle="1" w:styleId="217">
    <w:name w:val="标准文件_附录二级无标题"/>
    <w:basedOn w:val="84"/>
    <w:qFormat/>
    <w:uiPriority w:val="0"/>
    <w:pPr>
      <w:spacing w:before="0" w:beforeLines="0" w:after="0" w:afterLines="0" w:line="276" w:lineRule="auto"/>
      <w:outlineLvl w:val="9"/>
    </w:pPr>
    <w:rPr>
      <w:rFonts w:ascii="宋体" w:eastAsia="宋体"/>
    </w:rPr>
  </w:style>
  <w:style w:type="paragraph" w:customStyle="1" w:styleId="218">
    <w:name w:val="标准文件_附录三级无标题"/>
    <w:basedOn w:val="86"/>
    <w:qFormat/>
    <w:uiPriority w:val="0"/>
    <w:pPr>
      <w:spacing w:before="0" w:beforeLines="0" w:after="0" w:afterLines="0" w:line="276" w:lineRule="auto"/>
      <w:outlineLvl w:val="9"/>
    </w:pPr>
    <w:rPr>
      <w:rFonts w:ascii="宋体" w:eastAsia="宋体"/>
    </w:rPr>
  </w:style>
  <w:style w:type="paragraph" w:customStyle="1" w:styleId="219">
    <w:name w:val="标准文件_附录四级无标题"/>
    <w:basedOn w:val="87"/>
    <w:qFormat/>
    <w:uiPriority w:val="0"/>
    <w:pPr>
      <w:spacing w:before="0" w:beforeLines="0" w:after="0" w:afterLines="0" w:line="276" w:lineRule="auto"/>
      <w:outlineLvl w:val="9"/>
    </w:pPr>
    <w:rPr>
      <w:rFonts w:ascii="宋体" w:eastAsia="宋体"/>
    </w:rPr>
  </w:style>
  <w:style w:type="paragraph" w:customStyle="1" w:styleId="220">
    <w:name w:val="标准文件_附录五级无标题"/>
    <w:basedOn w:val="89"/>
    <w:qFormat/>
    <w:uiPriority w:val="0"/>
    <w:pPr>
      <w:spacing w:before="0" w:beforeLines="0" w:after="0" w:afterLines="0" w:line="276" w:lineRule="auto"/>
      <w:outlineLvl w:val="9"/>
    </w:pPr>
    <w:rPr>
      <w:rFonts w:ascii="宋体" w:eastAsia="宋体"/>
    </w:rPr>
  </w:style>
  <w:style w:type="paragraph" w:customStyle="1" w:styleId="221">
    <w:name w:val="标准文件_引言一级无标题"/>
    <w:basedOn w:val="205"/>
    <w:next w:val="61"/>
    <w:qFormat/>
    <w:uiPriority w:val="0"/>
    <w:pPr>
      <w:spacing w:before="0" w:beforeLines="0" w:after="0" w:afterLines="0" w:line="276" w:lineRule="auto"/>
    </w:pPr>
    <w:rPr>
      <w:rFonts w:ascii="宋体" w:eastAsia="宋体"/>
    </w:rPr>
  </w:style>
  <w:style w:type="paragraph" w:customStyle="1" w:styleId="222">
    <w:name w:val="标准文件_引言二级无标题"/>
    <w:basedOn w:val="206"/>
    <w:next w:val="61"/>
    <w:qFormat/>
    <w:uiPriority w:val="0"/>
    <w:pPr>
      <w:spacing w:before="0" w:beforeLines="0" w:after="0" w:afterLines="0" w:line="276" w:lineRule="auto"/>
    </w:pPr>
    <w:rPr>
      <w:rFonts w:ascii="宋体" w:eastAsia="宋体"/>
    </w:rPr>
  </w:style>
  <w:style w:type="paragraph" w:customStyle="1" w:styleId="223">
    <w:name w:val="标准文件_引言三级无标题"/>
    <w:basedOn w:val="207"/>
    <w:qFormat/>
    <w:uiPriority w:val="0"/>
    <w:pPr>
      <w:spacing w:before="0" w:beforeLines="0" w:after="0" w:afterLines="0" w:line="276" w:lineRule="auto"/>
    </w:pPr>
    <w:rPr>
      <w:rFonts w:ascii="宋体" w:eastAsia="宋体"/>
    </w:rPr>
  </w:style>
  <w:style w:type="paragraph" w:customStyle="1" w:styleId="224">
    <w:name w:val="标准文件_引言四级无标题"/>
    <w:basedOn w:val="208"/>
    <w:next w:val="61"/>
    <w:qFormat/>
    <w:uiPriority w:val="0"/>
    <w:pPr>
      <w:spacing w:before="0" w:beforeLines="0" w:after="0" w:afterLines="0" w:line="276" w:lineRule="auto"/>
    </w:pPr>
    <w:rPr>
      <w:rFonts w:ascii="宋体" w:eastAsia="宋体"/>
    </w:rPr>
  </w:style>
  <w:style w:type="paragraph" w:customStyle="1" w:styleId="225">
    <w:name w:val="标准文件_引言五级无标题"/>
    <w:basedOn w:val="209"/>
    <w:next w:val="61"/>
    <w:qFormat/>
    <w:uiPriority w:val="0"/>
    <w:pPr>
      <w:spacing w:before="0" w:beforeLines="0" w:after="0" w:afterLines="0" w:line="276" w:lineRule="auto"/>
    </w:pPr>
    <w:rPr>
      <w:rFonts w:ascii="宋体" w:eastAsia="宋体"/>
    </w:rPr>
  </w:style>
  <w:style w:type="paragraph" w:customStyle="1" w:styleId="226">
    <w:name w:val="标准文件_索引标题"/>
    <w:basedOn w:val="68"/>
    <w:next w:val="61"/>
    <w:qFormat/>
    <w:uiPriority w:val="0"/>
    <w:rPr>
      <w:rFonts w:hAnsi="黑体"/>
    </w:rPr>
  </w:style>
  <w:style w:type="paragraph" w:customStyle="1" w:styleId="227">
    <w:name w:val="标准文件_脚注内容"/>
    <w:basedOn w:val="61"/>
    <w:qFormat/>
    <w:uiPriority w:val="0"/>
    <w:pPr>
      <w:ind w:left="400" w:leftChars="200" w:hanging="200" w:hangingChars="200"/>
    </w:pPr>
    <w:rPr>
      <w:sz w:val="15"/>
    </w:rPr>
  </w:style>
  <w:style w:type="paragraph" w:customStyle="1" w:styleId="228">
    <w:name w:val="标准文件_术语条一"/>
    <w:basedOn w:val="167"/>
    <w:next w:val="61"/>
    <w:qFormat/>
    <w:uiPriority w:val="0"/>
  </w:style>
  <w:style w:type="paragraph" w:customStyle="1" w:styleId="229">
    <w:name w:val="标准文件_术语条二"/>
    <w:basedOn w:val="170"/>
    <w:next w:val="61"/>
    <w:qFormat/>
    <w:uiPriority w:val="0"/>
  </w:style>
  <w:style w:type="paragraph" w:customStyle="1" w:styleId="230">
    <w:name w:val="标准文件_术语条三"/>
    <w:basedOn w:val="169"/>
    <w:next w:val="61"/>
    <w:qFormat/>
    <w:uiPriority w:val="0"/>
  </w:style>
  <w:style w:type="paragraph" w:customStyle="1" w:styleId="231">
    <w:name w:val="标准文件_术语条四"/>
    <w:basedOn w:val="172"/>
    <w:next w:val="61"/>
    <w:qFormat/>
    <w:uiPriority w:val="0"/>
  </w:style>
  <w:style w:type="paragraph" w:customStyle="1" w:styleId="232">
    <w:name w:val="标准文件_术语条五"/>
    <w:basedOn w:val="168"/>
    <w:next w:val="61"/>
    <w:qFormat/>
    <w:uiPriority w:val="0"/>
  </w:style>
  <w:style w:type="paragraph" w:customStyle="1" w:styleId="2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4">
    <w:name w:val="发布"/>
    <w:basedOn w:val="32"/>
    <w:qFormat/>
    <w:uiPriority w:val="0"/>
    <w:rPr>
      <w:rFonts w:ascii="黑体" w:eastAsia="黑体"/>
      <w:spacing w:val="85"/>
      <w:w w:val="100"/>
      <w:position w:val="3"/>
      <w:sz w:val="28"/>
      <w:szCs w:val="28"/>
    </w:rPr>
  </w:style>
  <w:style w:type="paragraph" w:customStyle="1" w:styleId="235">
    <w:name w:val="正文首行缩进 21"/>
    <w:basedOn w:val="15"/>
    <w:unhideWhenUsed/>
    <w:qFormat/>
    <w:uiPriority w:val="99"/>
    <w:pPr>
      <w:adjustRightInd/>
      <w:spacing w:line="240" w:lineRule="auto"/>
      <w:ind w:firstLine="420" w:firstLineChars="200"/>
    </w:pPr>
    <w:rPr>
      <w:szCs w:val="24"/>
    </w:rPr>
  </w:style>
  <w:style w:type="character" w:customStyle="1" w:styleId="236">
    <w:name w:val="正文文本缩进 Char"/>
    <w:basedOn w:val="32"/>
    <w:link w:val="15"/>
    <w:semiHidden/>
    <w:qFormat/>
    <w:uiPriority w:val="99"/>
    <w:rPr>
      <w:kern w:val="2"/>
      <w:sz w:val="21"/>
      <w:szCs w:val="21"/>
    </w:rPr>
  </w:style>
  <w:style w:type="paragraph" w:customStyle="1" w:styleId="237">
    <w:name w:val="修订1"/>
    <w:hidden/>
    <w:semiHidden/>
    <w:qFormat/>
    <w:uiPriority w:val="99"/>
    <w:rPr>
      <w:rFonts w:ascii="Calibri" w:hAnsi="Calibri" w:eastAsia="宋体" w:cs="Times New Roman"/>
      <w:kern w:val="2"/>
      <w:sz w:val="21"/>
      <w:szCs w:val="21"/>
      <w:lang w:val="en-US" w:eastAsia="zh-CN" w:bidi="ar-SA"/>
    </w:rPr>
  </w:style>
  <w:style w:type="character" w:customStyle="1" w:styleId="238">
    <w:name w:val="批注文字 Char"/>
    <w:basedOn w:val="32"/>
    <w:link w:val="13"/>
    <w:semiHidden/>
    <w:qFormat/>
    <w:uiPriority w:val="99"/>
    <w:rPr>
      <w:kern w:val="2"/>
      <w:sz w:val="21"/>
      <w:szCs w:val="21"/>
    </w:rPr>
  </w:style>
  <w:style w:type="character" w:customStyle="1" w:styleId="239">
    <w:name w:val="批注主题 Char"/>
    <w:basedOn w:val="238"/>
    <w:link w:val="29"/>
    <w:semiHidden/>
    <w:qFormat/>
    <w:uiPriority w:val="99"/>
    <w:rPr>
      <w:b/>
      <w:bCs/>
      <w:kern w:val="2"/>
      <w:sz w:val="21"/>
      <w:szCs w:val="21"/>
    </w:rPr>
  </w:style>
  <w:style w:type="paragraph" w:customStyle="1" w:styleId="240">
    <w:name w:val="修订2"/>
    <w:hidden/>
    <w:unhideWhenUsed/>
    <w:qFormat/>
    <w:uiPriority w:val="99"/>
    <w:rPr>
      <w:rFonts w:ascii="Calibri" w:hAnsi="Calibri" w:eastAsia="宋体" w:cs="Times New Roman"/>
      <w:kern w:val="2"/>
      <w:sz w:val="21"/>
      <w:szCs w:val="21"/>
      <w:lang w:val="en-US" w:eastAsia="zh-CN" w:bidi="ar-SA"/>
    </w:rPr>
  </w:style>
  <w:style w:type="paragraph" w:customStyle="1" w:styleId="241">
    <w:name w:val="Revision"/>
    <w:hidden/>
    <w:unhideWhenUsed/>
    <w:qFormat/>
    <w:uiPriority w:val="99"/>
    <w:rPr>
      <w:rFonts w:ascii="Calibri" w:hAnsi="Calibri" w:eastAsia="宋体" w:cs="Times New Roman"/>
      <w:kern w:val="2"/>
      <w:sz w:val="21"/>
      <w:szCs w:val="21"/>
      <w:lang w:val="en-US" w:eastAsia="zh-CN" w:bidi="ar-SA"/>
    </w:rPr>
  </w:style>
  <w:style w:type="character" w:customStyle="1" w:styleId="242">
    <w:name w:val="font21"/>
    <w:basedOn w:val="32"/>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1" Type="http://schemas.openxmlformats.org/officeDocument/2006/relationships/glossaryDocument" Target="glossary/document.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jpeg"/><Relationship Id="rId25" Type="http://schemas.openxmlformats.org/officeDocument/2006/relationships/theme" Target="theme/theme1.xml"/><Relationship Id="rId24" Type="http://schemas.openxmlformats.org/officeDocument/2006/relationships/footer" Target="footer8.xml"/><Relationship Id="rId23" Type="http://schemas.openxmlformats.org/officeDocument/2006/relationships/footer" Target="footer7.xml"/><Relationship Id="rId22" Type="http://schemas.openxmlformats.org/officeDocument/2006/relationships/header" Target="header12.xml"/><Relationship Id="rId21" Type="http://schemas.openxmlformats.org/officeDocument/2006/relationships/header" Target="header11.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footer" Target="footer6.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footer" Target="footer3.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242;&#20307;&#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2B77DB749804158B30A2318A9CC564E"/>
        <w:style w:val=""/>
        <w:category>
          <w:name w:val="常规"/>
          <w:gallery w:val="placeholder"/>
        </w:category>
        <w:types>
          <w:type w:val="bbPlcHdr"/>
        </w:types>
        <w:behaviors>
          <w:behavior w:val="content"/>
        </w:behaviors>
        <w:description w:val=""/>
        <w:guid w:val="{AFC8584E-F369-4486-9A9B-34CAAF0E4B66}"/>
      </w:docPartPr>
      <w:docPartBody>
        <w:p w14:paraId="4FE3A353">
          <w:pPr>
            <w:pStyle w:val="5"/>
          </w:pPr>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8A4"/>
    <w:rsid w:val="001C61B9"/>
    <w:rsid w:val="001E719F"/>
    <w:rsid w:val="002218A4"/>
    <w:rsid w:val="00284073"/>
    <w:rsid w:val="007B2438"/>
    <w:rsid w:val="008E4122"/>
    <w:rsid w:val="009147F4"/>
    <w:rsid w:val="00A21E63"/>
    <w:rsid w:val="00A91FDE"/>
    <w:rsid w:val="00B06560"/>
    <w:rsid w:val="00D34AEC"/>
    <w:rsid w:val="00E91639"/>
    <w:rsid w:val="00ED2264"/>
    <w:rsid w:val="00F50495"/>
    <w:rsid w:val="00FD08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72B77DB749804158B30A2318A9CC564E"/>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6">
    <w:name w:val="DF262AA9FE264A0F84384FA2A5C24226"/>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7">
    <w:name w:val="4FB0B0E0B80A4A46BB9C9C544292AD37"/>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57"/>
    <customShpInfo spid="_x0000_s2056"/>
    <customShpInfo spid="_x0000_s2055"/>
    <customShpInfo spid="_x0000_s2060"/>
    <customShpInfo spid="_x0000_s2059"/>
    <customShpInfo spid="_x0000_s2058"/>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BD2A66-7A4F-4A7C-9B8B-27DED24BAD4D}">
  <ds:schemaRefs/>
</ds:datastoreItem>
</file>

<file path=docProps/app.xml><?xml version="1.0" encoding="utf-8"?>
<Properties xmlns="http://schemas.openxmlformats.org/officeDocument/2006/extended-properties" xmlns:vt="http://schemas.openxmlformats.org/officeDocument/2006/docPropsVTypes">
  <Template>团体标准</Template>
  <Company>PCMI</Company>
  <Pages>18</Pages>
  <Words>449</Words>
  <Characters>659</Characters>
  <Lines>94</Lines>
  <Paragraphs>26</Paragraphs>
  <TotalTime>7</TotalTime>
  <ScaleCrop>false</ScaleCrop>
  <LinksUpToDate>false</LinksUpToDate>
  <CharactersWithSpaces>801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2025-08-14T02:33:00Z</dcterms:created>
  <dc:creator>EDY</dc:creator>
  <dc:description>&lt;config cover="true" show_menu="true" version="1.0.0" doctype="SDKXY"&gt;_x000d_
&lt;/config&gt;</dc:description>
  <cp:lastModifiedBy>刘伟</cp:lastModifiedBy>
  <cp:lastPrinted>2021-02-02T08:22:00Z</cp:lastPrinted>
  <dcterms:modified xsi:type="dcterms:W3CDTF">2025-09-12T01:59:24Z</dcterms:modified>
  <dc:title>团体标准</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团体标准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DoublePage">
    <vt:lpwstr>true</vt:lpwstr>
  </property>
  <property fmtid="{D5CDD505-2E9C-101B-9397-08002B2CF9AE}" pid="15" name="KSOTemplateDocerSaveRecord">
    <vt:lpwstr>eyJoZGlkIjoiYzUxZGViZjc0ZGQ4MjQxYjk3MGQ5MjE3NTUxMjY3OGUiLCJ1c2VySWQiOiIxNzExMzg5ODE2In0=</vt:lpwstr>
  </property>
  <property fmtid="{D5CDD505-2E9C-101B-9397-08002B2CF9AE}" pid="16" name="KSOProductBuildVer">
    <vt:lpwstr>2052-12.1.0.22529</vt:lpwstr>
  </property>
  <property fmtid="{D5CDD505-2E9C-101B-9397-08002B2CF9AE}" pid="17" name="ICV">
    <vt:lpwstr>4769FE00B97B4C08B1D7AE6E4734EE26_13</vt:lpwstr>
  </property>
</Properties>
</file>