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1"/>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2E0FF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3C3E0362">
            <w:pPr>
              <w:pStyle w:val="20"/>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20A1F29E">
            <w:pPr>
              <w:pStyle w:val="20"/>
              <w:framePr w:wrap="notBeside" w:vAnchor="page" w:hAnchor="page" w:x="1372" w:y="568"/>
              <w:tabs>
                <w:tab w:val="clear" w:pos="4153"/>
                <w:tab w:val="clear" w:pos="8306"/>
              </w:tabs>
              <w:spacing w:line="240" w:lineRule="auto"/>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点击此处添加ICS号</w:t>
            </w:r>
            <w:r>
              <w:rPr>
                <w:rFonts w:ascii="黑体" w:hAnsi="黑体" w:eastAsia="黑体"/>
                <w:sz w:val="21"/>
                <w:szCs w:val="21"/>
              </w:rPr>
              <w:fldChar w:fldCharType="end"/>
            </w:r>
            <w:bookmarkEnd w:id="0"/>
          </w:p>
        </w:tc>
      </w:tr>
      <w:tr w14:paraId="72761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07AD293D">
            <w:pPr>
              <w:pStyle w:val="20"/>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tbl>
            <w:tblPr>
              <w:tblStyle w:val="31"/>
              <w:tblpPr w:vertAnchor="page" w:horzAnchor="margin" w:tblpX="1" w:tblpY="341"/>
              <w:tblOverlap w:val="never"/>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0" w:type="dxa"/>
                <w:bottom w:w="0" w:type="dxa"/>
                <w:right w:w="113" w:type="dxa"/>
              </w:tblCellMar>
            </w:tblPr>
            <w:tblGrid>
              <w:gridCol w:w="9242"/>
            </w:tblGrid>
            <w:tr w14:paraId="395F6123">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PrEx>
              <w:trPr>
                <w:trHeight w:val="1021" w:hRule="exact"/>
              </w:trPr>
              <w:tc>
                <w:tcPr>
                  <w:tcW w:w="9242" w:type="dxa"/>
                  <w:vAlign w:val="center"/>
                </w:tcPr>
                <w:p w14:paraId="6D3CF682">
                  <w:pPr>
                    <w:pStyle w:val="54"/>
                    <w:framePr w:wrap="notBeside" w:vAnchor="page" w:hAnchor="page" w:x="1372" w:y="568"/>
                    <w:ind w:left="420" w:right="624"/>
                    <w:rPr>
                      <w:rFonts w:ascii="宋体" w:hAnsi="宋体"/>
                      <w:sz w:val="28"/>
                      <w:szCs w:val="28"/>
                    </w:rPr>
                  </w:pPr>
                  <w:r>
                    <w:rPr>
                      <w:sz w:val="21"/>
                      <w:szCs w:val="21"/>
                    </w:rPr>
                    <w:t xml:space="preserve"> </w:t>
                  </w:r>
                </w:p>
              </w:tc>
            </w:tr>
          </w:tbl>
          <w:p w14:paraId="5ED5EFF9">
            <w:pPr>
              <w:pStyle w:val="20"/>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点击此处添加CCS号</w:t>
            </w:r>
            <w:r>
              <w:rPr>
                <w:rFonts w:ascii="黑体" w:hAnsi="黑体" w:eastAsia="黑体"/>
                <w:sz w:val="21"/>
                <w:szCs w:val="21"/>
              </w:rPr>
              <w:fldChar w:fldCharType="end"/>
            </w:r>
            <w:bookmarkEnd w:id="1"/>
          </w:p>
        </w:tc>
      </w:tr>
    </w:tbl>
    <w:p w14:paraId="21E0B206">
      <w:pPr>
        <w:pStyle w:val="55"/>
        <w:framePr w:w="9639" w:h="1401" w:hRule="exact" w:hSpace="181" w:vSpace="181" w:wrap="around" w:hAnchor="page" w:x="1305" w:y="1481"/>
        <w:rPr>
          <w:rFonts w:ascii="黑体" w:hAnsi="黑体" w:eastAsia="黑体"/>
          <w:b w:val="0"/>
          <w:bCs w:val="0"/>
          <w:w w:val="100"/>
          <w:sz w:val="96"/>
          <w:szCs w:val="96"/>
        </w:rPr>
      </w:pPr>
      <w:bookmarkStart w:id="2" w:name="_Hlk26473981"/>
      <w:r>
        <w:rPr>
          <w:rFonts w:hint="eastAsia" w:ascii="黑体" w:eastAsia="黑体"/>
          <w:b w:val="0"/>
          <w:w w:val="100"/>
          <w:sz w:val="96"/>
          <w:szCs w:val="28"/>
        </w:rPr>
        <w:t>团体</w:t>
      </w:r>
      <w:r>
        <w:rPr>
          <w:rFonts w:hint="eastAsia" w:ascii="黑体" w:hAnsi="黑体" w:eastAsia="黑体"/>
          <w:b w:val="0"/>
          <w:bCs w:val="0"/>
          <w:w w:val="100"/>
          <w:sz w:val="96"/>
          <w:szCs w:val="96"/>
        </w:rPr>
        <w:t>标准</w:t>
      </w:r>
    </w:p>
    <w:bookmarkEnd w:id="2"/>
    <w:p w14:paraId="6E49257A">
      <w:pPr>
        <w:pStyle w:val="200"/>
      </w:pPr>
      <w:r>
        <w:t>T/</w:t>
      </w:r>
      <w:r>
        <w:fldChar w:fldCharType="begin">
          <w:ffData>
            <w:name w:val="文字1"/>
            <w:enabled/>
            <w:calcOnExit w:val="0"/>
            <w:textInput>
              <w:default w:val="COSOCC"/>
            </w:textInput>
          </w:ffData>
        </w:fldChar>
      </w:r>
      <w:bookmarkStart w:id="3" w:name="文字1"/>
      <w:r>
        <w:instrText xml:space="preserve"> FORMTEXT </w:instrText>
      </w:r>
      <w:r>
        <w:fldChar w:fldCharType="separate"/>
      </w:r>
      <w:r>
        <w:t>COSOCC</w:t>
      </w:r>
      <w:r>
        <w:fldChar w:fldCharType="end"/>
      </w:r>
      <w:bookmarkEnd w:id="3"/>
      <w:r>
        <w:t xml:space="preserve"> </w:t>
      </w:r>
      <w:r>
        <w:fldChar w:fldCharType="begin">
          <w:ffData>
            <w:name w:val="NSTD_CODE_F"/>
            <w:enabled/>
            <w:calcOnExit w:val="0"/>
            <w:textInput>
              <w:default w:val="XXXX"/>
            </w:textInput>
          </w:ffData>
        </w:fldChar>
      </w:r>
      <w:bookmarkStart w:id="4" w:name="NSTD_CODE_F"/>
      <w:r>
        <w:instrText xml:space="preserve"> FORMTEXT </w:instrText>
      </w:r>
      <w:r>
        <w:fldChar w:fldCharType="separate"/>
      </w:r>
      <w:r>
        <w:t>XXXX</w:t>
      </w:r>
      <w:r>
        <w:fldChar w:fldCharType="end"/>
      </w:r>
      <w:bookmarkEnd w:id="4"/>
      <w:r>
        <w:rPr>
          <w:rFonts w:hAnsi="黑体"/>
        </w:rPr>
        <w:t>—</w:t>
      </w:r>
      <w:r>
        <w:fldChar w:fldCharType="begin">
          <w:ffData>
            <w:name w:val="NSTD_CODE_B"/>
            <w:enabled/>
            <w:calcOnExit w:val="0"/>
            <w:textInput>
              <w:default w:val="XXXX"/>
            </w:textInput>
          </w:ffData>
        </w:fldChar>
      </w:r>
      <w:bookmarkStart w:id="5" w:name="NSTD_CODE_B"/>
      <w:r>
        <w:instrText xml:space="preserve"> FORMTEXT </w:instrText>
      </w:r>
      <w:r>
        <w:fldChar w:fldCharType="separate"/>
      </w:r>
      <w:r>
        <w:t>XXXX</w:t>
      </w:r>
      <w:r>
        <w:fldChar w:fldCharType="end"/>
      </w:r>
      <w:bookmarkEnd w:id="5"/>
    </w:p>
    <w:p w14:paraId="25E48657">
      <w:pPr>
        <w:pStyle w:val="201"/>
        <w:rPr>
          <w:rFonts w:hAnsi="黑体"/>
        </w:rPr>
      </w:pPr>
      <w:r>
        <w:rPr>
          <w:rFonts w:hAnsi="黑体"/>
        </w:rPr>
        <w:fldChar w:fldCharType="begin">
          <w:ffData>
            <w:name w:val="OSTD_CODE"/>
            <w:enabled/>
            <w:calcOnExit w:val="0"/>
            <w:textInput/>
          </w:ffData>
        </w:fldChar>
      </w:r>
      <w:bookmarkStart w:id="6" w:name="OSTD_CODE"/>
      <w:r>
        <w:rPr>
          <w:rFonts w:hAnsi="黑体"/>
        </w:rPr>
        <w:instrText xml:space="preserve"> FORMTEXT </w:instrText>
      </w:r>
      <w:r>
        <w:rPr>
          <w:rFonts w:hAnsi="黑体"/>
        </w:rPr>
        <w:fldChar w:fldCharType="separate"/>
      </w:r>
      <w:r>
        <w:rPr>
          <w:rFonts w:hAnsi="黑体"/>
        </w:rPr>
        <w:t>     </w:t>
      </w:r>
      <w:r>
        <w:rPr>
          <w:rFonts w:hAnsi="黑体"/>
        </w:rPr>
        <w:fldChar w:fldCharType="end"/>
      </w:r>
      <w:bookmarkEnd w:id="6"/>
    </w:p>
    <w:p w14:paraId="3B08865C">
      <w:pPr>
        <w:spacing w:line="240" w:lineRule="auto"/>
        <w:rPr>
          <w:rFonts w:ascii="黑体" w:hAnsi="黑体" w:eastAsia="黑体"/>
          <w:kern w:val="0"/>
          <w:sz w:val="10"/>
          <w:szCs w:val="10"/>
        </w:rPr>
      </w:pPr>
      <w:r>
        <w:rPr>
          <w:rFonts w:ascii="黑体" w:hAnsi="黑体" w:eastAsia="黑体"/>
          <w:kern w:val="0"/>
          <w:sz w:val="10"/>
          <w:szCs w:val="10"/>
        </w:rPr>
        <mc:AlternateContent>
          <mc:Choice Requires="wps">
            <w:drawing>
              <wp:anchor distT="0" distB="0" distL="114300" distR="114300" simplePos="0" relativeHeight="251660288"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0288;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4BAEE4CF">
      <w:pPr>
        <w:pStyle w:val="55"/>
        <w:framePr w:w="9639" w:h="6976" w:hRule="exact" w:hSpace="0" w:vSpace="0" w:wrap="around" w:hAnchor="page" w:y="6408"/>
        <w:jc w:val="center"/>
        <w:rPr>
          <w:rFonts w:ascii="黑体" w:hAnsi="黑体" w:eastAsia="黑体"/>
          <w:b w:val="0"/>
          <w:bCs w:val="0"/>
          <w:w w:val="100"/>
        </w:rPr>
      </w:pPr>
    </w:p>
    <w:p w14:paraId="7311CC67">
      <w:pPr>
        <w:pStyle w:val="202"/>
        <w:framePr w:h="6974" w:hRule="exact" w:wrap="around" w:x="1419" w:anchorLock="1"/>
      </w:pPr>
      <w:bookmarkStart w:id="7" w:name="CSTD_NAME"/>
      <w:r>
        <w:rPr>
          <w:rFonts w:hint="eastAsia" w:ascii="黑体" w:hAnsi="黑体" w:eastAsia="黑体" w:cs="Times New Roman"/>
          <w:bCs/>
          <w:sz w:val="52"/>
          <w:lang w:val="en-US" w:eastAsia="zh-CN" w:bidi="ar-SA"/>
        </w:rPr>
        <w:fldChar w:fldCharType="begin">
          <w:ffData>
            <w:name w:val="CSTD_NAME"/>
            <w:enabled/>
            <w:calcOnExit w:val="0"/>
            <w:textInput>
              <w:default w:val="水利工程河道生态护坡施工技术规程"/>
            </w:textInput>
          </w:ffData>
        </w:fldChar>
      </w:r>
      <w:r>
        <w:rPr>
          <w:rFonts w:hint="eastAsia" w:ascii="黑体" w:hAnsi="黑体" w:eastAsia="黑体" w:cs="Times New Roman"/>
          <w:bCs/>
          <w:sz w:val="52"/>
          <w:lang w:val="en-US" w:eastAsia="zh-CN" w:bidi="ar-SA"/>
        </w:rPr>
        <w:instrText xml:space="preserve">FORMTEXT</w:instrText>
      </w:r>
      <w:r>
        <w:rPr>
          <w:rFonts w:hint="eastAsia" w:ascii="黑体" w:hAnsi="黑体" w:eastAsia="黑体" w:cs="Times New Roman"/>
          <w:bCs/>
          <w:sz w:val="52"/>
          <w:lang w:val="en-US" w:eastAsia="zh-CN" w:bidi="ar-SA"/>
        </w:rPr>
        <w:fldChar w:fldCharType="separate"/>
      </w:r>
      <w:r>
        <w:rPr>
          <w:rFonts w:hint="eastAsia" w:cs="Times New Roman"/>
          <w:bCs/>
          <w:sz w:val="52"/>
          <w:lang w:val="en-US" w:eastAsia="zh-CN" w:bidi="ar-SA"/>
        </w:rPr>
        <w:t>河道生态护坡水利施工技术规程</w:t>
      </w:r>
      <w:r>
        <w:rPr>
          <w:rFonts w:hint="eastAsia" w:ascii="黑体" w:hAnsi="黑体" w:eastAsia="黑体" w:cs="Times New Roman"/>
          <w:bCs/>
          <w:sz w:val="52"/>
          <w:lang w:val="en-US" w:eastAsia="zh-CN" w:bidi="ar-SA"/>
        </w:rPr>
        <w:fldChar w:fldCharType="end"/>
      </w:r>
      <w:bookmarkEnd w:id="7"/>
    </w:p>
    <w:p w14:paraId="29C6244D">
      <w:pPr>
        <w:framePr w:w="9639" w:h="6974" w:hRule="exact" w:wrap="around" w:vAnchor="page" w:hAnchor="page" w:x="1419" w:y="6408" w:anchorLock="1"/>
        <w:ind w:left="-1418"/>
      </w:pPr>
    </w:p>
    <w:p w14:paraId="4F521E77">
      <w:pPr>
        <w:pStyle w:val="130"/>
        <w:framePr w:w="9639" w:h="6974" w:hRule="exact" w:wrap="around" w:vAnchor="page" w:hAnchor="page" w:x="1419" w:y="6408" w:anchorLock="1"/>
        <w:textAlignment w:val="bottom"/>
        <w:rPr>
          <w:rFonts w:eastAsia="黑体"/>
          <w:szCs w:val="28"/>
        </w:rPr>
      </w:pPr>
      <w:r>
        <w:rPr>
          <w:rFonts w:hint="default" w:eastAsiaTheme="minorEastAsia"/>
          <w:sz w:val="22"/>
          <w:lang w:val="en-US" w:eastAsia="zh-CN"/>
        </w:rPr>
        <w:t xml:space="preserve">Technical </w:t>
      </w:r>
      <w:r>
        <w:rPr>
          <w:rFonts w:hint="eastAsia"/>
          <w:sz w:val="22"/>
          <w:lang w:val="en-US" w:eastAsia="zh-CN"/>
        </w:rPr>
        <w:t>r</w:t>
      </w:r>
      <w:r>
        <w:rPr>
          <w:rFonts w:hint="default" w:eastAsiaTheme="minorEastAsia"/>
          <w:sz w:val="22"/>
          <w:lang w:val="en-US" w:eastAsia="zh-CN"/>
        </w:rPr>
        <w:t xml:space="preserve">egulations for </w:t>
      </w:r>
      <w:r>
        <w:rPr>
          <w:rFonts w:hint="eastAsia"/>
          <w:sz w:val="22"/>
          <w:lang w:val="en-US" w:eastAsia="zh-CN"/>
        </w:rPr>
        <w:t>e</w:t>
      </w:r>
      <w:r>
        <w:rPr>
          <w:rFonts w:hint="default" w:eastAsiaTheme="minorEastAsia"/>
          <w:sz w:val="22"/>
          <w:lang w:val="en-US" w:eastAsia="zh-CN"/>
        </w:rPr>
        <w:t xml:space="preserve">cological </w:t>
      </w:r>
      <w:r>
        <w:rPr>
          <w:rFonts w:hint="eastAsia"/>
          <w:sz w:val="22"/>
          <w:lang w:val="en-US" w:eastAsia="zh-CN"/>
        </w:rPr>
        <w:t>s</w:t>
      </w:r>
      <w:r>
        <w:rPr>
          <w:rFonts w:hint="default" w:eastAsiaTheme="minorEastAsia"/>
          <w:sz w:val="22"/>
          <w:lang w:val="en-US" w:eastAsia="zh-CN"/>
        </w:rPr>
        <w:t xml:space="preserve">lope </w:t>
      </w:r>
      <w:r>
        <w:rPr>
          <w:rFonts w:hint="eastAsia"/>
          <w:sz w:val="22"/>
          <w:lang w:val="en-US" w:eastAsia="zh-CN"/>
        </w:rPr>
        <w:t>p</w:t>
      </w:r>
      <w:r>
        <w:rPr>
          <w:rFonts w:hint="default" w:eastAsiaTheme="minorEastAsia"/>
          <w:sz w:val="22"/>
          <w:lang w:val="en-US" w:eastAsia="zh-CN"/>
        </w:rPr>
        <w:t xml:space="preserve">rotection and </w:t>
      </w:r>
      <w:r>
        <w:rPr>
          <w:rFonts w:hint="eastAsia"/>
          <w:sz w:val="22"/>
          <w:lang w:val="en-US" w:eastAsia="zh-CN"/>
        </w:rPr>
        <w:t>w</w:t>
      </w:r>
      <w:r>
        <w:rPr>
          <w:rFonts w:hint="default" w:eastAsiaTheme="minorEastAsia"/>
          <w:sz w:val="22"/>
          <w:lang w:val="en-US" w:eastAsia="zh-CN"/>
        </w:rPr>
        <w:t xml:space="preserve">ater </w:t>
      </w:r>
      <w:r>
        <w:rPr>
          <w:rFonts w:hint="eastAsia"/>
          <w:sz w:val="22"/>
          <w:lang w:val="en-US" w:eastAsia="zh-CN"/>
        </w:rPr>
        <w:t>c</w:t>
      </w:r>
      <w:r>
        <w:rPr>
          <w:rFonts w:hint="default" w:eastAsiaTheme="minorEastAsia"/>
          <w:sz w:val="22"/>
          <w:lang w:val="en-US" w:eastAsia="zh-CN"/>
        </w:rPr>
        <w:t xml:space="preserve">onservancy </w:t>
      </w:r>
      <w:r>
        <w:rPr>
          <w:rFonts w:hint="eastAsia"/>
          <w:sz w:val="22"/>
          <w:lang w:val="en-US" w:eastAsia="zh-CN"/>
        </w:rPr>
        <w:t>c</w:t>
      </w:r>
      <w:r>
        <w:rPr>
          <w:rFonts w:hint="default" w:eastAsiaTheme="minorEastAsia"/>
          <w:sz w:val="22"/>
          <w:lang w:val="en-US" w:eastAsia="zh-CN"/>
        </w:rPr>
        <w:t xml:space="preserve">onstruction in </w:t>
      </w:r>
      <w:r>
        <w:rPr>
          <w:rFonts w:hint="eastAsia"/>
          <w:sz w:val="22"/>
          <w:lang w:val="en-US" w:eastAsia="zh-CN"/>
        </w:rPr>
        <w:t>r</w:t>
      </w:r>
      <w:r>
        <w:rPr>
          <w:rFonts w:hint="default" w:eastAsiaTheme="minorEastAsia"/>
          <w:sz w:val="22"/>
          <w:lang w:val="en-US" w:eastAsia="zh-CN"/>
        </w:rPr>
        <w:t xml:space="preserve">iver </w:t>
      </w:r>
      <w:r>
        <w:rPr>
          <w:rFonts w:hint="eastAsia"/>
          <w:sz w:val="22"/>
          <w:lang w:val="en-US" w:eastAsia="zh-CN"/>
        </w:rPr>
        <w:t>c</w:t>
      </w:r>
      <w:r>
        <w:rPr>
          <w:rFonts w:hint="default" w:eastAsiaTheme="minorEastAsia"/>
          <w:sz w:val="22"/>
          <w:lang w:val="en-US" w:eastAsia="zh-CN"/>
        </w:rPr>
        <w:t>hannels</w:t>
      </w:r>
    </w:p>
    <w:p w14:paraId="4D901D7C">
      <w:pPr>
        <w:framePr w:w="9639" w:h="6974" w:hRule="exact" w:wrap="around" w:vAnchor="page" w:hAnchor="page" w:x="1419" w:y="6408" w:anchorLock="1"/>
        <w:spacing w:line="760" w:lineRule="exact"/>
        <w:ind w:left="-1418"/>
      </w:pPr>
    </w:p>
    <w:p w14:paraId="1EEE7E17">
      <w:pPr>
        <w:pStyle w:val="130"/>
        <w:framePr w:w="9639" w:h="6974" w:hRule="exact" w:wrap="around" w:vAnchor="page" w:hAnchor="page" w:x="1419" w:y="6408" w:anchorLock="1"/>
        <w:textAlignment w:val="bottom"/>
        <w:rPr>
          <w:rFonts w:eastAsia="黑体"/>
          <w:szCs w:val="28"/>
        </w:rPr>
      </w:pPr>
    </w:p>
    <w:p w14:paraId="6248C2B5">
      <w:pPr>
        <w:pStyle w:val="130"/>
        <w:framePr w:w="9639" w:h="6974" w:hRule="exact" w:wrap="around" w:vAnchor="page" w:hAnchor="page" w:x="1419" w:y="6408" w:anchorLock="1"/>
        <w:spacing w:before="440" w:after="160"/>
        <w:textAlignment w:val="bottom"/>
        <w:rPr>
          <w:rFonts w:hint="eastAsia" w:eastAsia="宋体"/>
          <w:sz w:val="24"/>
          <w:szCs w:val="28"/>
          <w:lang w:val="en-US" w:eastAsia="zh-CN"/>
        </w:rPr>
      </w:pPr>
      <w:r>
        <w:rPr>
          <w:rFonts w:hint="eastAsia"/>
          <w:sz w:val="24"/>
          <w:szCs w:val="28"/>
          <w:lang w:val="en-US" w:eastAsia="zh-CN"/>
        </w:rPr>
        <w:t xml:space="preserve"> </w:t>
      </w:r>
    </w:p>
    <w:p w14:paraId="7696EF11">
      <w:pPr>
        <w:pStyle w:val="130"/>
        <w:framePr w:w="9639" w:h="6974" w:hRule="exact" w:wrap="around" w:vAnchor="page" w:hAnchor="page" w:x="1419" w:y="6408" w:anchorLock="1"/>
        <w:spacing w:before="180" w:line="240" w:lineRule="atLeast"/>
        <w:textAlignment w:val="bottom"/>
        <w:rPr>
          <w:sz w:val="21"/>
          <w:szCs w:val="28"/>
        </w:rPr>
      </w:pPr>
      <w:r>
        <w:rPr>
          <w:rFonts w:hint="eastAsia" w:cs="Times New Roman"/>
          <w:sz w:val="21"/>
          <w:szCs w:val="28"/>
          <w:lang w:val="en-US" w:eastAsia="zh-CN" w:bidi="ar-SA"/>
        </w:rPr>
        <w:t xml:space="preserve"> </w:t>
      </w:r>
      <w:bookmarkStart w:id="94" w:name="_GoBack"/>
      <w:bookmarkEnd w:id="94"/>
    </w:p>
    <w:p w14:paraId="18A8A61B">
      <w:pPr>
        <w:pStyle w:val="130"/>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8" w:name="下拉2"/>
      <w:r>
        <w:rPr>
          <w:b/>
          <w:sz w:val="21"/>
          <w:szCs w:val="28"/>
        </w:rPr>
        <w:instrText xml:space="preserve"> FORMDROPDOWN </w:instrText>
      </w:r>
      <w:r>
        <w:rPr>
          <w:b/>
          <w:sz w:val="21"/>
          <w:szCs w:val="28"/>
        </w:rPr>
        <w:fldChar w:fldCharType="separate"/>
      </w:r>
      <w:r>
        <w:rPr>
          <w:b/>
          <w:sz w:val="21"/>
          <w:szCs w:val="28"/>
        </w:rPr>
        <w:fldChar w:fldCharType="end"/>
      </w:r>
      <w:bookmarkEnd w:id="8"/>
    </w:p>
    <w:p w14:paraId="0A2BC174">
      <w:pPr>
        <w:pStyle w:val="198"/>
        <w:framePr w:wrap="around" w:y="14176"/>
      </w:pPr>
      <w:r>
        <w:rPr>
          <w:rFonts w:ascii="黑体"/>
        </w:rPr>
        <w:fldChar w:fldCharType="begin">
          <w:ffData>
            <w:name w:val="PLSH_DATE_Y"/>
            <w:enabled/>
            <w:calcOnExit w:val="0"/>
            <w:textInput>
              <w:default w:val="XXXX"/>
              <w:maxLength w:val="4"/>
            </w:textInput>
          </w:ffData>
        </w:fldChar>
      </w:r>
      <w:bookmarkStart w:id="9"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9"/>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0"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0"/>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1"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1"/>
      <w:r>
        <w:rPr>
          <w:rFonts w:hint="eastAsia"/>
        </w:rPr>
        <w:t>发布</w:t>
      </w:r>
    </w:p>
    <w:p w14:paraId="3BDAED49">
      <w:pPr>
        <w:pStyle w:val="199"/>
        <w:framePr w:wrap="around" w:y="14176"/>
      </w:pPr>
      <w:r>
        <w:rPr>
          <w:rFonts w:ascii="黑体"/>
        </w:rPr>
        <w:fldChar w:fldCharType="begin">
          <w:ffData>
            <w:name w:val="CROT_DATE_Y"/>
            <w:enabled/>
            <w:calcOnExit w:val="0"/>
            <w:textInput>
              <w:default w:val="XXXX"/>
              <w:maxLength w:val="4"/>
            </w:textInput>
          </w:ffData>
        </w:fldChar>
      </w:r>
      <w:bookmarkStart w:id="12"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2"/>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3"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3"/>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4"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4"/>
      <w:r>
        <w:rPr>
          <w:rFonts w:hint="eastAsia"/>
        </w:rPr>
        <w:t>实施</w:t>
      </w:r>
    </w:p>
    <w:p w14:paraId="504F8844">
      <w:pPr>
        <w:pStyle w:val="156"/>
        <w:framePr w:h="584" w:hRule="exact" w:hSpace="181" w:vSpace="181" w:wrap="around" w:y="14800"/>
        <w:rPr>
          <w:rFonts w:hAnsi="黑体"/>
        </w:rPr>
      </w:pPr>
      <w:r>
        <w:rPr>
          <w:rFonts w:hint="eastAsia" w:hAnsi="黑体"/>
          <w:w w:val="100"/>
          <w:sz w:val="28"/>
        </w:rPr>
        <w:fldChar w:fldCharType="begin">
          <w:ffData>
            <w:name w:val="fm"/>
            <w:enabled/>
            <w:calcOnExit w:val="0"/>
            <w:textInput>
              <w:default w:val="中国基本建设优化研究会"/>
            </w:textInput>
          </w:ffData>
        </w:fldChar>
      </w:r>
      <w:bookmarkStart w:id="15" w:name="fm"/>
      <w:r>
        <w:rPr>
          <w:rFonts w:hint="eastAsia" w:hAnsi="黑体"/>
          <w:w w:val="100"/>
          <w:sz w:val="28"/>
        </w:rPr>
        <w:instrText xml:space="preserve"> </w:instrText>
      </w:r>
      <w:r>
        <w:rPr>
          <w:rFonts w:hAnsi="黑体"/>
          <w:w w:val="100"/>
          <w:sz w:val="28"/>
        </w:rPr>
        <w:instrText xml:space="preserve">FORMTEXT</w:instrText>
      </w:r>
      <w:r>
        <w:rPr>
          <w:rFonts w:hint="eastAsia" w:hAnsi="黑体"/>
          <w:w w:val="100"/>
          <w:sz w:val="28"/>
        </w:rPr>
        <w:instrText xml:space="preserve"> </w:instrText>
      </w:r>
      <w:r>
        <w:rPr>
          <w:rFonts w:hint="eastAsia" w:hAnsi="黑体"/>
          <w:w w:val="100"/>
          <w:sz w:val="28"/>
        </w:rPr>
        <w:fldChar w:fldCharType="separate"/>
      </w:r>
      <w:r>
        <w:rPr>
          <w:rFonts w:hint="eastAsia" w:hAnsi="黑体"/>
          <w:w w:val="100"/>
          <w:sz w:val="28"/>
        </w:rPr>
        <w:t>中国基本建设优化研究会</w:t>
      </w:r>
      <w:r>
        <w:rPr>
          <w:rFonts w:hint="eastAsia" w:hAnsi="黑体"/>
          <w:w w:val="100"/>
          <w:sz w:val="28"/>
        </w:rPr>
        <w:fldChar w:fldCharType="end"/>
      </w:r>
      <w:bookmarkEnd w:id="15"/>
      <w:r>
        <w:rPr>
          <w:rFonts w:ascii="Times New Roman"/>
          <w:w w:val="100"/>
          <w:sz w:val="28"/>
        </w:rPr>
        <w:t>  </w:t>
      </w:r>
      <w:r>
        <w:rPr>
          <w:rStyle w:val="234"/>
          <w:rFonts w:hint="eastAsia" w:hAnsi="黑体"/>
          <w:position w:val="0"/>
        </w:rPr>
        <w:t>发</w:t>
      </w:r>
      <w:r>
        <w:rPr>
          <w:rStyle w:val="234"/>
          <w:rFonts w:hint="eastAsia" w:hAnsi="黑体"/>
          <w:spacing w:val="0"/>
          <w:position w:val="0"/>
        </w:rPr>
        <w:t>布</w:t>
      </w:r>
    </w:p>
    <w:p w14:paraId="0AD344C6">
      <w:pPr>
        <w:rPr>
          <w:rFonts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567" w:right="1134" w:bottom="1134"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1312"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1312;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34D67F76">
      <w:pPr>
        <w:adjustRightInd/>
        <w:spacing w:line="240" w:lineRule="auto"/>
        <w:jc w:val="center"/>
        <w:rPr>
          <w:rFonts w:hint="eastAsia" w:ascii="Times New Roman" w:hAnsi="Times New Roman" w:eastAsia="黑体"/>
          <w:sz w:val="32"/>
          <w:szCs w:val="32"/>
        </w:rPr>
      </w:pPr>
      <w:bookmarkStart w:id="16" w:name="BookMark1"/>
      <w:bookmarkStart w:id="17" w:name="_Toc5963"/>
      <w:r>
        <w:rPr>
          <w:rFonts w:hint="eastAsia" w:ascii="Times New Roman" w:hAnsi="Times New Roman" w:eastAsia="黑体"/>
          <w:sz w:val="32"/>
          <w:szCs w:val="32"/>
        </w:rPr>
        <w:t>目</w:t>
      </w:r>
      <w:r>
        <w:rPr>
          <w:rFonts w:ascii="Times New Roman" w:hAnsi="Times New Roman" w:eastAsia="黑体"/>
          <w:sz w:val="32"/>
          <w:szCs w:val="32"/>
        </w:rPr>
        <w:t>  </w:t>
      </w:r>
      <w:r>
        <w:rPr>
          <w:rFonts w:hint="eastAsia" w:ascii="Times New Roman" w:hAnsi="Times New Roman" w:eastAsia="黑体"/>
          <w:sz w:val="32"/>
          <w:szCs w:val="32"/>
        </w:rPr>
        <w:t>次</w:t>
      </w:r>
    </w:p>
    <w:p w14:paraId="238BE21B">
      <w:pPr>
        <w:adjustRightInd/>
        <w:spacing w:line="240" w:lineRule="auto"/>
        <w:rPr>
          <w:rFonts w:hint="eastAsia" w:ascii="Times New Roman" w:hAnsi="Times New Roman"/>
          <w:szCs w:val="24"/>
        </w:rPr>
      </w:pPr>
    </w:p>
    <w:p w14:paraId="5E319BEC">
      <w:pPr>
        <w:pStyle w:val="21"/>
        <w:tabs>
          <w:tab w:val="right" w:leader="dot" w:pos="9354"/>
        </w:tabs>
        <w:rPr>
          <w:rFonts w:hint="default" w:ascii="Times New Roman" w:hAnsi="Times New Roman" w:eastAsia="宋体" w:cs="Times New Roman"/>
        </w:rPr>
      </w:pPr>
      <w:r>
        <w:rPr>
          <w:rFonts w:ascii="Times New Roman" w:hAnsi="Times New Roman"/>
        </w:rPr>
        <w:fldChar w:fldCharType="begin"/>
      </w:r>
      <w:r>
        <w:rPr>
          <w:rFonts w:ascii="Times New Roman" w:hAnsi="Times New Roman"/>
        </w:rPr>
        <w:instrText xml:space="preserve"> TOC \o "1-3" \u </w:instrText>
      </w:r>
      <w:r>
        <w:rPr>
          <w:rFonts w:ascii="Times New Roman" w:hAnsi="Times New Roman"/>
        </w:rPr>
        <w:fldChar w:fldCharType="separate"/>
      </w:r>
      <w:r>
        <w:rPr>
          <w:rFonts w:hint="default" w:ascii="Times New Roman" w:hAnsi="Times New Roman" w:eastAsia="宋体" w:cs="Times New Roman"/>
          <w:b/>
          <w:bCs/>
          <w:spacing w:val="320"/>
        </w:rPr>
        <w:t>前</w:t>
      </w:r>
      <w:r>
        <w:rPr>
          <w:rFonts w:hint="default" w:ascii="Times New Roman" w:hAnsi="Times New Roman" w:eastAsia="宋体" w:cs="Times New Roman"/>
          <w:b/>
          <w:bCs/>
        </w:rPr>
        <w:t>言</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_Toc18961 \h </w:instrText>
      </w:r>
      <w:r>
        <w:rPr>
          <w:rFonts w:hint="default" w:ascii="Times New Roman" w:hAnsi="Times New Roman" w:eastAsia="宋体" w:cs="Times New Roman"/>
        </w:rPr>
        <w:fldChar w:fldCharType="separate"/>
      </w:r>
      <w:r>
        <w:rPr>
          <w:rFonts w:hint="default" w:ascii="Times New Roman" w:hAnsi="Times New Roman" w:eastAsia="宋体" w:cs="Times New Roman"/>
        </w:rPr>
        <w:t>II</w:t>
      </w:r>
      <w:r>
        <w:rPr>
          <w:rFonts w:hint="default" w:ascii="Times New Roman" w:hAnsi="Times New Roman" w:eastAsia="宋体" w:cs="Times New Roman"/>
        </w:rPr>
        <w:fldChar w:fldCharType="end"/>
      </w:r>
    </w:p>
    <w:p w14:paraId="7BAAF7B5">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 xml:space="preserve">1 </w:t>
      </w:r>
      <w:r>
        <w:rPr>
          <w:rFonts w:hint="default" w:ascii="Times New Roman" w:hAnsi="Times New Roman" w:eastAsia="宋体" w:cs="Times New Roman"/>
          <w:b/>
          <w:bCs/>
          <w:kern w:val="44"/>
          <w:highlight w:val="none"/>
          <w:lang w:val="en-US" w:eastAsia="zh-CN"/>
        </w:rPr>
        <w:t>范围</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_Toc18297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p>
    <w:p w14:paraId="06B42B76">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 xml:space="preserve">2 </w:t>
      </w:r>
      <w:r>
        <w:rPr>
          <w:rFonts w:hint="default" w:ascii="Times New Roman" w:hAnsi="Times New Roman" w:eastAsia="宋体" w:cs="Times New Roman"/>
          <w:b/>
          <w:bCs/>
          <w:kern w:val="44"/>
          <w:highlight w:val="none"/>
          <w:lang w:val="en-US" w:eastAsia="zh-CN"/>
        </w:rPr>
        <w:t>规范性引用文件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_Toc9180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p>
    <w:p w14:paraId="15AF0E67">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 xml:space="preserve">3 </w:t>
      </w:r>
      <w:r>
        <w:rPr>
          <w:rFonts w:hint="default" w:ascii="Times New Roman" w:hAnsi="Times New Roman" w:eastAsia="宋体" w:cs="Times New Roman"/>
          <w:b/>
          <w:bCs/>
          <w:kern w:val="44"/>
          <w:highlight w:val="none"/>
          <w:lang w:val="en-US" w:eastAsia="zh-CN"/>
        </w:rPr>
        <w:t>术语</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_Toc18957 \h </w:instrText>
      </w:r>
      <w:r>
        <w:rPr>
          <w:rFonts w:hint="default" w:ascii="Times New Roman" w:hAnsi="Times New Roman" w:eastAsia="宋体" w:cs="Times New Roman"/>
        </w:rPr>
        <w:fldChar w:fldCharType="separate"/>
      </w:r>
      <w:r>
        <w:rPr>
          <w:rFonts w:hint="default" w:ascii="Times New Roman" w:hAnsi="Times New Roman" w:eastAsia="宋体" w:cs="Times New Roman"/>
        </w:rPr>
        <w:t>2</w:t>
      </w:r>
      <w:r>
        <w:rPr>
          <w:rFonts w:hint="default" w:ascii="Times New Roman" w:hAnsi="Times New Roman" w:eastAsia="宋体" w:cs="Times New Roman"/>
        </w:rPr>
        <w:fldChar w:fldCharType="end"/>
      </w:r>
    </w:p>
    <w:p w14:paraId="0330D878">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4 基本规定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_Toc14810 \h </w:instrText>
      </w:r>
      <w:r>
        <w:rPr>
          <w:rFonts w:hint="default" w:ascii="Times New Roman" w:hAnsi="Times New Roman" w:eastAsia="宋体" w:cs="Times New Roman"/>
        </w:rPr>
        <w:fldChar w:fldCharType="separate"/>
      </w:r>
      <w:r>
        <w:rPr>
          <w:rFonts w:hint="default" w:ascii="Times New Roman" w:hAnsi="Times New Roman" w:eastAsia="宋体" w:cs="Times New Roman"/>
        </w:rPr>
        <w:t>2</w:t>
      </w:r>
      <w:r>
        <w:rPr>
          <w:rFonts w:hint="default" w:ascii="Times New Roman" w:hAnsi="Times New Roman" w:eastAsia="宋体" w:cs="Times New Roman"/>
        </w:rPr>
        <w:fldChar w:fldCharType="end"/>
      </w:r>
    </w:p>
    <w:p w14:paraId="6A02FF67">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5 施工准备</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_Toc17921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130FA823">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lang w:val="en-US" w:eastAsia="zh-CN"/>
        </w:rPr>
        <w:t>5</w:t>
      </w:r>
      <w:r>
        <w:rPr>
          <w:rFonts w:hint="default" w:ascii="Times New Roman" w:hAnsi="Times New Roman" w:eastAsia="宋体" w:cs="Times New Roman"/>
          <w:bCs/>
          <w:kern w:val="21"/>
        </w:rPr>
        <w:t>.1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lang w:val="en-US" w:eastAsia="zh-CN"/>
        </w:rPr>
        <w:t>技术准备</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_Toc18132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p>
    <w:p w14:paraId="15259B84">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lang w:val="en-US" w:eastAsia="zh-CN"/>
        </w:rPr>
        <w:t>5</w:t>
      </w:r>
      <w:r>
        <w:rPr>
          <w:rFonts w:hint="default" w:ascii="Times New Roman" w:hAnsi="Times New Roman" w:eastAsia="宋体" w:cs="Times New Roman"/>
          <w:bCs/>
          <w:kern w:val="21"/>
        </w:rPr>
        <w:t>.</w:t>
      </w:r>
      <w:r>
        <w:rPr>
          <w:rFonts w:hint="default" w:ascii="Times New Roman" w:hAnsi="Times New Roman" w:eastAsia="宋体" w:cs="Times New Roman"/>
          <w:bCs/>
          <w:kern w:val="21"/>
          <w:lang w:val="en-US" w:eastAsia="zh-CN"/>
        </w:rPr>
        <w:t xml:space="preserve">2  </w:t>
      </w:r>
      <w:r>
        <w:rPr>
          <w:rFonts w:hint="default" w:ascii="Times New Roman" w:hAnsi="Times New Roman" w:eastAsia="宋体" w:cs="Times New Roman"/>
          <w:bCs w:val="0"/>
          <w:kern w:val="21"/>
        </w:rPr>
        <w:t>现场准备</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_Toc27827 \h </w:instrText>
      </w:r>
      <w:r>
        <w:rPr>
          <w:rFonts w:hint="default" w:ascii="Times New Roman" w:hAnsi="Times New Roman" w:eastAsia="宋体" w:cs="Times New Roman"/>
        </w:rPr>
        <w:fldChar w:fldCharType="separate"/>
      </w:r>
      <w:r>
        <w:rPr>
          <w:rFonts w:hint="default" w:ascii="Times New Roman" w:hAnsi="Times New Roman" w:eastAsia="宋体" w:cs="Times New Roman"/>
        </w:rPr>
        <w:t>4</w:t>
      </w:r>
      <w:r>
        <w:rPr>
          <w:rFonts w:hint="default" w:ascii="Times New Roman" w:hAnsi="Times New Roman" w:eastAsia="宋体" w:cs="Times New Roman"/>
        </w:rPr>
        <w:fldChar w:fldCharType="end"/>
      </w:r>
    </w:p>
    <w:p w14:paraId="396FFD46">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lang w:val="en-US" w:eastAsia="zh-CN"/>
        </w:rPr>
        <w:t>5</w:t>
      </w:r>
      <w:r>
        <w:rPr>
          <w:rFonts w:hint="default" w:ascii="Times New Roman" w:hAnsi="Times New Roman" w:eastAsia="宋体" w:cs="Times New Roman"/>
          <w:bCs/>
          <w:kern w:val="21"/>
        </w:rPr>
        <w:t>.</w:t>
      </w:r>
      <w:r>
        <w:rPr>
          <w:rFonts w:hint="default" w:ascii="Times New Roman" w:hAnsi="Times New Roman" w:eastAsia="宋体" w:cs="Times New Roman"/>
          <w:bCs/>
          <w:kern w:val="21"/>
          <w:lang w:val="en-US" w:eastAsia="zh-CN"/>
        </w:rPr>
        <w:t xml:space="preserve">3  </w:t>
      </w:r>
      <w:r>
        <w:rPr>
          <w:rFonts w:hint="default" w:ascii="Times New Roman" w:hAnsi="Times New Roman" w:eastAsia="宋体" w:cs="Times New Roman"/>
          <w:bCs w:val="0"/>
          <w:kern w:val="21"/>
          <w:lang w:val="en-US" w:eastAsia="zh-CN"/>
        </w:rPr>
        <w:t>材料与设备准备</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_Toc31104 \h </w:instrText>
      </w:r>
      <w:r>
        <w:rPr>
          <w:rFonts w:hint="default" w:ascii="Times New Roman" w:hAnsi="Times New Roman" w:eastAsia="宋体" w:cs="Times New Roman"/>
        </w:rPr>
        <w:fldChar w:fldCharType="separate"/>
      </w:r>
      <w:r>
        <w:rPr>
          <w:rFonts w:hint="default" w:ascii="Times New Roman" w:hAnsi="Times New Roman" w:eastAsia="宋体" w:cs="Times New Roman"/>
        </w:rPr>
        <w:t>4</w:t>
      </w:r>
      <w:r>
        <w:rPr>
          <w:rFonts w:hint="default" w:ascii="Times New Roman" w:hAnsi="Times New Roman" w:eastAsia="宋体" w:cs="Times New Roman"/>
        </w:rPr>
        <w:fldChar w:fldCharType="end"/>
      </w:r>
    </w:p>
    <w:p w14:paraId="7AF1E422">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6 材料要求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_Toc12682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0948D7B6">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6.1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一般</w:t>
      </w:r>
      <w:r>
        <w:rPr>
          <w:rFonts w:hint="default" w:ascii="Times New Roman" w:hAnsi="Times New Roman" w:eastAsia="宋体" w:cs="Times New Roman"/>
          <w:bCs w:val="0"/>
          <w:kern w:val="21"/>
          <w:lang w:eastAsia="zh-CN"/>
        </w:rPr>
        <w:t>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_Toc8459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6DB8D09E">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lang w:val="en-US" w:eastAsia="zh-CN"/>
        </w:rPr>
        <w:t>植物材料</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_Toc13017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31C22B1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土工合成材料</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_Toc9968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644A05BC">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石材与砌块材料</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_Toc11993 \h </w:instrText>
      </w:r>
      <w:r>
        <w:rPr>
          <w:rFonts w:hint="default" w:ascii="Times New Roman" w:hAnsi="Times New Roman" w:eastAsia="宋体" w:cs="Times New Roman"/>
        </w:rPr>
        <w:fldChar w:fldCharType="separate"/>
      </w:r>
      <w:r>
        <w:rPr>
          <w:rFonts w:hint="default" w:ascii="Times New Roman" w:hAnsi="Times New Roman" w:eastAsia="宋体" w:cs="Times New Roman"/>
        </w:rPr>
        <w:t>5</w:t>
      </w:r>
      <w:r>
        <w:rPr>
          <w:rFonts w:hint="default" w:ascii="Times New Roman" w:hAnsi="Times New Roman" w:eastAsia="宋体" w:cs="Times New Roman"/>
        </w:rPr>
        <w:fldChar w:fldCharType="end"/>
      </w:r>
    </w:p>
    <w:p w14:paraId="51779025">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6.5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填充与种植材料</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_Toc2179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4E33D139">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6.</w:t>
      </w:r>
      <w:r>
        <w:rPr>
          <w:rFonts w:hint="default" w:ascii="Times New Roman" w:hAnsi="Times New Roman" w:eastAsia="宋体" w:cs="Times New Roman"/>
          <w:bCs/>
          <w:kern w:val="21"/>
          <w:lang w:val="en-US" w:eastAsia="zh-CN"/>
        </w:rPr>
        <w:t>6</w:t>
      </w:r>
      <w:r>
        <w:rPr>
          <w:rFonts w:hint="default" w:ascii="Times New Roman" w:hAnsi="Times New Roman" w:eastAsia="宋体" w:cs="Times New Roman"/>
          <w:bCs/>
          <w:kern w:val="21"/>
        </w:rPr>
        <w:t xml:space="preserve">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lang w:eastAsia="zh-CN"/>
        </w:rPr>
        <w:t>其他</w:t>
      </w:r>
      <w:r>
        <w:rPr>
          <w:rFonts w:hint="default" w:ascii="Times New Roman" w:hAnsi="Times New Roman" w:eastAsia="宋体" w:cs="Times New Roman"/>
          <w:bCs w:val="0"/>
          <w:kern w:val="21"/>
        </w:rPr>
        <w:t>材料</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_Toc3465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5D7C8516">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7 施工工艺</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_Toc21976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227942C6">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7.1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一般规定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_Toc3700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425583FC">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坡面整理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_Toc10486 \h </w:instrText>
      </w:r>
      <w:r>
        <w:rPr>
          <w:rFonts w:hint="default" w:ascii="Times New Roman" w:hAnsi="Times New Roman" w:eastAsia="宋体" w:cs="Times New Roman"/>
        </w:rPr>
        <w:fldChar w:fldCharType="separate"/>
      </w:r>
      <w:r>
        <w:rPr>
          <w:rFonts w:hint="default" w:ascii="Times New Roman" w:hAnsi="Times New Roman" w:eastAsia="宋体" w:cs="Times New Roman"/>
        </w:rPr>
        <w:t>6</w:t>
      </w:r>
      <w:r>
        <w:rPr>
          <w:rFonts w:hint="default" w:ascii="Times New Roman" w:hAnsi="Times New Roman" w:eastAsia="宋体" w:cs="Times New Roman"/>
        </w:rPr>
        <w:fldChar w:fldCharType="end"/>
      </w:r>
    </w:p>
    <w:p w14:paraId="6FE0EC33">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基础施工​</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_Toc24996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45875F29">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生态砌块/干砌石护坡施工</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_Toc24426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34C15909">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7.5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石笼/格宾网箱护坡施工</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_Toc27992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63631D8B">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7.</w:t>
      </w:r>
      <w:r>
        <w:rPr>
          <w:rFonts w:hint="default" w:ascii="Times New Roman" w:hAnsi="Times New Roman" w:eastAsia="宋体" w:cs="Times New Roman"/>
          <w:bCs/>
          <w:kern w:val="21"/>
          <w:lang w:val="en-US" w:eastAsia="zh-CN"/>
        </w:rPr>
        <w:t>6</w:t>
      </w:r>
      <w:r>
        <w:rPr>
          <w:rFonts w:hint="default" w:ascii="Times New Roman" w:hAnsi="Times New Roman" w:eastAsia="宋体" w:cs="Times New Roman"/>
          <w:bCs/>
          <w:kern w:val="21"/>
        </w:rPr>
        <w:t xml:space="preserve">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土工材料复合植被护坡施工​</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_Toc29117 \h </w:instrText>
      </w:r>
      <w:r>
        <w:rPr>
          <w:rFonts w:hint="default" w:ascii="Times New Roman" w:hAnsi="Times New Roman" w:eastAsia="宋体" w:cs="Times New Roman"/>
        </w:rPr>
        <w:fldChar w:fldCharType="separate"/>
      </w:r>
      <w:r>
        <w:rPr>
          <w:rFonts w:hint="default" w:ascii="Times New Roman" w:hAnsi="Times New Roman" w:eastAsia="宋体" w:cs="Times New Roman"/>
        </w:rPr>
        <w:t>7</w:t>
      </w:r>
      <w:r>
        <w:rPr>
          <w:rFonts w:hint="default" w:ascii="Times New Roman" w:hAnsi="Times New Roman" w:eastAsia="宋体" w:cs="Times New Roman"/>
        </w:rPr>
        <w:fldChar w:fldCharType="end"/>
      </w:r>
    </w:p>
    <w:p w14:paraId="6D854A64">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7.</w:t>
      </w:r>
      <w:r>
        <w:rPr>
          <w:rFonts w:hint="default" w:ascii="Times New Roman" w:hAnsi="Times New Roman" w:eastAsia="宋体" w:cs="Times New Roman"/>
          <w:bCs/>
          <w:kern w:val="21"/>
          <w:lang w:val="en-US" w:eastAsia="zh-CN"/>
        </w:rPr>
        <w:t>7</w:t>
      </w:r>
      <w:r>
        <w:rPr>
          <w:rFonts w:hint="default" w:ascii="Times New Roman" w:hAnsi="Times New Roman" w:eastAsia="宋体" w:cs="Times New Roman"/>
          <w:bCs/>
          <w:kern w:val="21"/>
        </w:rPr>
        <w:t xml:space="preserve">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生态混凝土护坡施工</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_Toc20018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7D182FEE">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7.</w:t>
      </w:r>
      <w:r>
        <w:rPr>
          <w:rFonts w:hint="default" w:ascii="Times New Roman" w:hAnsi="Times New Roman" w:eastAsia="宋体" w:cs="Times New Roman"/>
          <w:bCs/>
          <w:kern w:val="21"/>
          <w:lang w:val="en-US" w:eastAsia="zh-CN"/>
        </w:rPr>
        <w:t>8</w:t>
      </w:r>
      <w:r>
        <w:rPr>
          <w:rFonts w:hint="default" w:ascii="Times New Roman" w:hAnsi="Times New Roman" w:eastAsia="宋体" w:cs="Times New Roman"/>
          <w:bCs/>
          <w:kern w:val="21"/>
        </w:rPr>
        <w:t xml:space="preserve">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植被恢复与种植</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_Toc24413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3A125B5A">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8 质量控制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_Toc19950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0291AD79">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8.1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一般规定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_Toc6896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p>
    <w:p w14:paraId="0013951A">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8.2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材料质量控制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_Toc11510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504FB37E">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8.3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施工过程质量控制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_Toc564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7E83F577">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8.4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实体质量检验与测量</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_Toc15676 \h </w:instrText>
      </w:r>
      <w:r>
        <w:rPr>
          <w:rFonts w:hint="default" w:ascii="Times New Roman" w:hAnsi="Times New Roman" w:eastAsia="宋体" w:cs="Times New Roman"/>
        </w:rPr>
        <w:fldChar w:fldCharType="separate"/>
      </w:r>
      <w:r>
        <w:rPr>
          <w:rFonts w:hint="default" w:ascii="Times New Roman" w:hAnsi="Times New Roman" w:eastAsia="宋体" w:cs="Times New Roman"/>
        </w:rPr>
        <w:t>9</w:t>
      </w:r>
      <w:r>
        <w:rPr>
          <w:rFonts w:hint="default" w:ascii="Times New Roman" w:hAnsi="Times New Roman" w:eastAsia="宋体" w:cs="Times New Roman"/>
        </w:rPr>
        <w:fldChar w:fldCharType="end"/>
      </w:r>
    </w:p>
    <w:p w14:paraId="2CFB7C93">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 xml:space="preserve">8.5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验收程序</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_Toc1487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p>
    <w:p w14:paraId="045278B1">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8.</w:t>
      </w:r>
      <w:r>
        <w:rPr>
          <w:rFonts w:hint="default" w:ascii="Times New Roman" w:hAnsi="Times New Roman" w:eastAsia="宋体" w:cs="Times New Roman"/>
          <w:bCs/>
          <w:kern w:val="21"/>
          <w:lang w:val="en-US" w:eastAsia="zh-CN"/>
        </w:rPr>
        <w:t>6</w:t>
      </w:r>
      <w:r>
        <w:rPr>
          <w:rFonts w:hint="default" w:ascii="Times New Roman" w:hAnsi="Times New Roman" w:eastAsia="宋体" w:cs="Times New Roman"/>
          <w:bCs/>
          <w:kern w:val="21"/>
        </w:rPr>
        <w:t xml:space="preserve">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质量问题的处理​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_Toc325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p>
    <w:p w14:paraId="002D219E">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kern w:val="21"/>
        </w:rPr>
        <w:t>8.</w:t>
      </w:r>
      <w:r>
        <w:rPr>
          <w:rFonts w:hint="default" w:ascii="Times New Roman" w:hAnsi="Times New Roman" w:eastAsia="宋体" w:cs="Times New Roman"/>
          <w:bCs/>
          <w:kern w:val="21"/>
          <w:lang w:val="en-US" w:eastAsia="zh-CN"/>
        </w:rPr>
        <w:t>7</w:t>
      </w:r>
      <w:r>
        <w:rPr>
          <w:rFonts w:hint="default" w:ascii="Times New Roman" w:hAnsi="Times New Roman" w:eastAsia="宋体" w:cs="Times New Roman"/>
          <w:bCs/>
          <w:kern w:val="21"/>
        </w:rPr>
        <w:t xml:space="preserve"> </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val="0"/>
          <w:kern w:val="21"/>
        </w:rPr>
        <w:t>质量记录与资料管理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_Toc2242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p>
    <w:p w14:paraId="17168511">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9 安全与环境保护</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_Toc22616 \h </w:instrText>
      </w:r>
      <w:r>
        <w:rPr>
          <w:rFonts w:hint="default" w:ascii="Times New Roman" w:hAnsi="Times New Roman" w:eastAsia="宋体" w:cs="Times New Roman"/>
        </w:rPr>
        <w:fldChar w:fldCharType="separate"/>
      </w:r>
      <w:r>
        <w:rPr>
          <w:rFonts w:hint="default" w:ascii="Times New Roman" w:hAnsi="Times New Roman" w:eastAsia="宋体" w:cs="Times New Roman"/>
        </w:rPr>
        <w:t>11</w:t>
      </w:r>
      <w:r>
        <w:rPr>
          <w:rFonts w:hint="default" w:ascii="Times New Roman" w:hAnsi="Times New Roman" w:eastAsia="宋体" w:cs="Times New Roman"/>
        </w:rPr>
        <w:fldChar w:fldCharType="end"/>
      </w:r>
    </w:p>
    <w:p w14:paraId="51B0C01C">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9.1</w:t>
      </w:r>
      <w:r>
        <w:rPr>
          <w:rFonts w:hint="default" w:ascii="Times New Roman" w:hAnsi="Times New Roman" w:eastAsia="宋体" w:cs="Times New Roman"/>
          <w:bCs/>
          <w:kern w:val="21"/>
          <w:lang w:val="en-US" w:eastAsia="zh-CN"/>
        </w:rPr>
        <w:t xml:space="preserve">  </w:t>
      </w:r>
      <w:r>
        <w:rPr>
          <w:rFonts w:hint="default" w:ascii="Times New Roman" w:hAnsi="Times New Roman" w:eastAsia="宋体" w:cs="Times New Roman"/>
          <w:bCs/>
          <w:kern w:val="21"/>
        </w:rPr>
        <w:t>安全管理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_Toc31840 \h </w:instrText>
      </w:r>
      <w:r>
        <w:rPr>
          <w:rFonts w:hint="default" w:ascii="Times New Roman" w:hAnsi="Times New Roman" w:eastAsia="宋体" w:cs="Times New Roman"/>
        </w:rPr>
        <w:fldChar w:fldCharType="separate"/>
      </w:r>
      <w:r>
        <w:rPr>
          <w:rFonts w:hint="default" w:ascii="Times New Roman" w:hAnsi="Times New Roman" w:eastAsia="宋体" w:cs="Times New Roman"/>
        </w:rPr>
        <w:t>11</w:t>
      </w:r>
      <w:r>
        <w:rPr>
          <w:rFonts w:hint="default" w:ascii="Times New Roman" w:hAnsi="Times New Roman" w:eastAsia="宋体" w:cs="Times New Roman"/>
        </w:rPr>
        <w:fldChar w:fldCharType="end"/>
      </w:r>
    </w:p>
    <w:p w14:paraId="667E2C9B">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9.2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环境保护</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_Toc18713 \h </w:instrText>
      </w:r>
      <w:r>
        <w:rPr>
          <w:rFonts w:hint="default" w:ascii="Times New Roman" w:hAnsi="Times New Roman" w:eastAsia="宋体" w:cs="Times New Roman"/>
        </w:rPr>
        <w:fldChar w:fldCharType="separate"/>
      </w:r>
      <w:r>
        <w:rPr>
          <w:rFonts w:hint="default" w:ascii="Times New Roman" w:hAnsi="Times New Roman" w:eastAsia="宋体" w:cs="Times New Roman"/>
        </w:rPr>
        <w:t>12</w:t>
      </w:r>
      <w:r>
        <w:rPr>
          <w:rFonts w:hint="default" w:ascii="Times New Roman" w:hAnsi="Times New Roman" w:eastAsia="宋体" w:cs="Times New Roman"/>
        </w:rPr>
        <w:fldChar w:fldCharType="end"/>
      </w:r>
    </w:p>
    <w:p w14:paraId="414A98F8">
      <w:pPr>
        <w:pStyle w:val="21"/>
        <w:tabs>
          <w:tab w:val="right" w:leader="dot" w:pos="9354"/>
        </w:tabs>
        <w:rPr>
          <w:rFonts w:hint="default" w:ascii="Times New Roman" w:hAnsi="Times New Roman" w:eastAsia="宋体" w:cs="Times New Roman"/>
        </w:rPr>
      </w:pPr>
      <w:r>
        <w:rPr>
          <w:rFonts w:hint="default" w:ascii="Times New Roman" w:hAnsi="Times New Roman" w:eastAsia="宋体" w:cs="Times New Roman"/>
          <w:b/>
          <w:bCs/>
          <w:kern w:val="44"/>
          <w:lang w:val="en-US" w:eastAsia="zh-CN"/>
        </w:rPr>
        <w:t>10 验收与维护管理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_Toc9454 \h </w:instrText>
      </w:r>
      <w:r>
        <w:rPr>
          <w:rFonts w:hint="default" w:ascii="Times New Roman" w:hAnsi="Times New Roman" w:eastAsia="宋体" w:cs="Times New Roman"/>
        </w:rPr>
        <w:fldChar w:fldCharType="separate"/>
      </w:r>
      <w:r>
        <w:rPr>
          <w:rFonts w:hint="default" w:ascii="Times New Roman" w:hAnsi="Times New Roman" w:eastAsia="宋体" w:cs="Times New Roman"/>
        </w:rPr>
        <w:t>13</w:t>
      </w:r>
      <w:r>
        <w:rPr>
          <w:rFonts w:hint="default" w:ascii="Times New Roman" w:hAnsi="Times New Roman" w:eastAsia="宋体" w:cs="Times New Roman"/>
        </w:rPr>
        <w:fldChar w:fldCharType="end"/>
      </w:r>
    </w:p>
    <w:p w14:paraId="38E36F7D">
      <w:pPr>
        <w:pStyle w:val="26"/>
        <w:tabs>
          <w:tab w:val="right" w:leader="dot" w:pos="9354"/>
          <w:tab w:val="clear" w:pos="9344"/>
        </w:tabs>
        <w:rPr>
          <w:rFonts w:hint="default" w:ascii="Times New Roman" w:hAnsi="Times New Roman" w:eastAsia="宋体" w:cs="Times New Roman"/>
        </w:rPr>
      </w:pPr>
      <w:r>
        <w:rPr>
          <w:rFonts w:hint="default" w:ascii="Times New Roman" w:hAnsi="Times New Roman" w:eastAsia="宋体" w:cs="Times New Roman"/>
          <w:bCs w:val="0"/>
          <w:kern w:val="21"/>
        </w:rPr>
        <w:t xml:space="preserve">10.1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竣工验收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_Toc17955 \h </w:instrText>
      </w:r>
      <w:r>
        <w:rPr>
          <w:rFonts w:hint="default" w:ascii="Times New Roman" w:hAnsi="Times New Roman" w:eastAsia="宋体" w:cs="Times New Roman"/>
        </w:rPr>
        <w:fldChar w:fldCharType="separate"/>
      </w:r>
      <w:r>
        <w:rPr>
          <w:rFonts w:hint="default" w:ascii="Times New Roman" w:hAnsi="Times New Roman" w:eastAsia="宋体" w:cs="Times New Roman"/>
        </w:rPr>
        <w:t>13</w:t>
      </w:r>
      <w:r>
        <w:rPr>
          <w:rFonts w:hint="default" w:ascii="Times New Roman" w:hAnsi="Times New Roman" w:eastAsia="宋体" w:cs="Times New Roman"/>
        </w:rPr>
        <w:fldChar w:fldCharType="end"/>
      </w:r>
    </w:p>
    <w:p w14:paraId="0BB0BB91">
      <w:pPr>
        <w:pStyle w:val="26"/>
        <w:tabs>
          <w:tab w:val="right" w:leader="dot" w:pos="9354"/>
          <w:tab w:val="clear" w:pos="9344"/>
        </w:tabs>
      </w:pPr>
      <w:r>
        <w:rPr>
          <w:rFonts w:hint="default" w:ascii="Times New Roman" w:hAnsi="Times New Roman" w:eastAsia="宋体" w:cs="Times New Roman"/>
          <w:bCs w:val="0"/>
          <w:kern w:val="21"/>
        </w:rPr>
        <w:t xml:space="preserve">10.2 </w:t>
      </w:r>
      <w:r>
        <w:rPr>
          <w:rFonts w:hint="default" w:ascii="Times New Roman" w:hAnsi="Times New Roman" w:eastAsia="宋体" w:cs="Times New Roman"/>
          <w:bCs w:val="0"/>
          <w:kern w:val="21"/>
          <w:lang w:val="en-US" w:eastAsia="zh-CN"/>
        </w:rPr>
        <w:t xml:space="preserve"> </w:t>
      </w:r>
      <w:r>
        <w:rPr>
          <w:rFonts w:hint="default" w:ascii="Times New Roman" w:hAnsi="Times New Roman" w:eastAsia="宋体" w:cs="Times New Roman"/>
          <w:bCs/>
          <w:kern w:val="21"/>
        </w:rPr>
        <w:t>维护管理</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_Toc5210 \h </w:instrText>
      </w:r>
      <w:r>
        <w:rPr>
          <w:rFonts w:hint="default" w:ascii="Times New Roman" w:hAnsi="Times New Roman" w:eastAsia="宋体" w:cs="Times New Roman"/>
        </w:rPr>
        <w:fldChar w:fldCharType="separate"/>
      </w:r>
      <w:r>
        <w:rPr>
          <w:rFonts w:hint="default" w:ascii="Times New Roman" w:hAnsi="Times New Roman" w:eastAsia="宋体" w:cs="Times New Roman"/>
        </w:rPr>
        <w:t>13</w:t>
      </w:r>
      <w:r>
        <w:rPr>
          <w:rFonts w:hint="default" w:ascii="Times New Roman" w:hAnsi="Times New Roman" w:eastAsia="宋体" w:cs="Times New Roman"/>
        </w:rPr>
        <w:fldChar w:fldCharType="end"/>
      </w:r>
    </w:p>
    <w:p w14:paraId="0E1B9006">
      <w:pPr>
        <w:pStyle w:val="96"/>
        <w:spacing w:after="360"/>
        <w:sectPr>
          <w:headerReference r:id="rId12" w:type="first"/>
          <w:headerReference r:id="rId10" w:type="default"/>
          <w:footerReference r:id="rId13" w:type="default"/>
          <w:headerReference r:id="rId11" w:type="even"/>
          <w:footerReference r:id="rId14" w:type="even"/>
          <w:pgSz w:w="11906" w:h="16838"/>
          <w:pgMar w:top="1928" w:right="1134" w:bottom="1134" w:left="1134" w:header="1418" w:footer="1134" w:gutter="284"/>
          <w:pgNumType w:fmt="upperRoman" w:start="1"/>
          <w:cols w:space="425" w:num="1"/>
          <w:formProt w:val="0"/>
          <w:docGrid w:linePitch="312" w:charSpace="0"/>
        </w:sectPr>
      </w:pPr>
      <w:r>
        <w:rPr>
          <w:rFonts w:ascii="Times New Roman" w:hAnsi="Times New Roman" w:eastAsia="宋体"/>
        </w:rPr>
        <w:fldChar w:fldCharType="end"/>
      </w:r>
    </w:p>
    <w:bookmarkEnd w:id="16"/>
    <w:p w14:paraId="79B04A67">
      <w:pPr>
        <w:pStyle w:val="94"/>
        <w:spacing w:before="900" w:after="360"/>
      </w:pPr>
      <w:bookmarkStart w:id="18" w:name="_Toc18961"/>
      <w:bookmarkStart w:id="19" w:name="_Toc199856993"/>
      <w:bookmarkStart w:id="20" w:name="BookMark2"/>
      <w:r>
        <w:rPr>
          <w:rFonts w:hint="eastAsia"/>
          <w:spacing w:val="320"/>
        </w:rPr>
        <w:t>前</w:t>
      </w:r>
      <w:r>
        <w:rPr>
          <w:rFonts w:hint="eastAsia"/>
        </w:rPr>
        <w:t>言</w:t>
      </w:r>
      <w:bookmarkEnd w:id="17"/>
      <w:bookmarkEnd w:id="18"/>
      <w:bookmarkEnd w:id="19"/>
    </w:p>
    <w:p w14:paraId="6803C868">
      <w:pPr>
        <w:pStyle w:val="61"/>
        <w:ind w:firstLine="420"/>
      </w:pPr>
      <w:r>
        <w:rPr>
          <w:rFonts w:hint="eastAsia"/>
        </w:rPr>
        <w:t>本文件按照GB/T 1.1—2020《标准化工作导则  第1部分：标准化文件的结构和起草规则》的规定起草。</w:t>
      </w:r>
    </w:p>
    <w:p w14:paraId="7977F114">
      <w:pPr>
        <w:pStyle w:val="61"/>
        <w:ind w:firstLine="420"/>
      </w:pPr>
      <w:r>
        <w:rPr>
          <w:rFonts w:hint="eastAsia"/>
        </w:rPr>
        <w:t>请注意本文件的某些内容可能涉及专利，本文件的发布机构不承担识别这些专利的责任。</w:t>
      </w:r>
    </w:p>
    <w:p w14:paraId="6C771983">
      <w:pPr>
        <w:pStyle w:val="61"/>
        <w:ind w:firstLine="420"/>
      </w:pPr>
      <w:r>
        <w:rPr>
          <w:rFonts w:hint="eastAsia"/>
        </w:rPr>
        <w:t>本文件由中国基本建设优化研究会提出并归口。</w:t>
      </w:r>
    </w:p>
    <w:p w14:paraId="12C51EA3">
      <w:pPr>
        <w:pStyle w:val="61"/>
        <w:ind w:firstLine="420"/>
      </w:pPr>
      <w:r>
        <w:rPr>
          <w:rFonts w:hint="eastAsia"/>
        </w:rPr>
        <w:t>本文件起草单位：</w:t>
      </w:r>
    </w:p>
    <w:p w14:paraId="3FA3F0F0">
      <w:pPr>
        <w:pStyle w:val="61"/>
        <w:ind w:firstLine="420"/>
      </w:pPr>
      <w:r>
        <w:rPr>
          <w:rFonts w:hint="eastAsia"/>
        </w:rPr>
        <w:t>本文件主要起草人：</w:t>
      </w:r>
    </w:p>
    <w:p w14:paraId="0C1390A2">
      <w:pPr>
        <w:pStyle w:val="61"/>
        <w:ind w:firstLine="420"/>
      </w:pPr>
    </w:p>
    <w:p w14:paraId="1411D536">
      <w:pPr>
        <w:pStyle w:val="61"/>
        <w:ind w:firstLine="420"/>
        <w:sectPr>
          <w:headerReference r:id="rId17" w:type="first"/>
          <w:headerReference r:id="rId15" w:type="default"/>
          <w:footerReference r:id="rId18" w:type="default"/>
          <w:headerReference r:id="rId16" w:type="even"/>
          <w:footerReference r:id="rId19" w:type="even"/>
          <w:pgSz w:w="11906" w:h="16838"/>
          <w:pgMar w:top="1928" w:right="1134" w:bottom="1134" w:left="1134" w:header="1418" w:footer="1134" w:gutter="284"/>
          <w:pgNumType w:fmt="upperRoman"/>
          <w:cols w:space="425" w:num="1"/>
          <w:formProt w:val="0"/>
          <w:docGrid w:linePitch="312" w:charSpace="0"/>
        </w:sectPr>
      </w:pPr>
    </w:p>
    <w:bookmarkEnd w:id="20"/>
    <w:p w14:paraId="6F191CB9">
      <w:pPr>
        <w:spacing w:line="20" w:lineRule="exact"/>
        <w:jc w:val="center"/>
        <w:rPr>
          <w:rFonts w:ascii="黑体" w:hAnsi="黑体" w:eastAsia="黑体"/>
          <w:sz w:val="32"/>
          <w:szCs w:val="32"/>
        </w:rPr>
      </w:pPr>
      <w:bookmarkStart w:id="21" w:name="BookMark4"/>
    </w:p>
    <w:p w14:paraId="69904142">
      <w:pPr>
        <w:spacing w:line="20" w:lineRule="exact"/>
        <w:jc w:val="center"/>
        <w:rPr>
          <w:rFonts w:ascii="黑体" w:hAnsi="黑体" w:eastAsia="黑体"/>
          <w:sz w:val="32"/>
          <w:szCs w:val="32"/>
        </w:rPr>
      </w:pPr>
    </w:p>
    <w:sdt>
      <w:sdtPr>
        <w:tag w:val="NEW_STAND_NAME"/>
        <w:id w:val="595910757"/>
        <w:lock w:val="sdtLocked"/>
        <w:placeholder>
          <w:docPart w:val="72B77DB749804158B30A2318A9CC564E"/>
        </w:placeholder>
      </w:sdtPr>
      <w:sdtContent>
        <w:p w14:paraId="2264B1D0">
          <w:pPr>
            <w:pStyle w:val="182"/>
          </w:pPr>
          <w:bookmarkStart w:id="22" w:name="NEW_STAND_NAME"/>
          <w:r>
            <w:rPr>
              <w:rFonts w:hint="eastAsia"/>
              <w:lang w:eastAsia="zh-CN"/>
            </w:rPr>
            <w:t>河道生态护坡水利施工技术规程</w:t>
          </w:r>
        </w:p>
      </w:sdtContent>
    </w:sdt>
    <w:bookmarkEnd w:id="21"/>
    <w:bookmarkEnd w:id="22"/>
    <w:p w14:paraId="0D6772B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highlight w:val="none"/>
          <w:lang w:val="en-US" w:eastAsia="zh-CN"/>
        </w:rPr>
      </w:pPr>
      <w:bookmarkStart w:id="23" w:name="_Toc534381560"/>
      <w:bookmarkStart w:id="24" w:name="_Toc18297"/>
      <w:bookmarkStart w:id="25" w:name="BookMark8"/>
      <w:bookmarkStart w:id="26" w:name="_Toc199857045"/>
      <w:r>
        <w:rPr>
          <w:rFonts w:hint="eastAsia" w:ascii="Times New Roman" w:hAnsi="Times New Roman" w:eastAsia="黑体"/>
          <w:b/>
          <w:bCs w:val="0"/>
          <w:kern w:val="44"/>
          <w:highlight w:val="none"/>
          <w:lang w:val="en-US" w:eastAsia="zh-CN"/>
        </w:rPr>
        <w:t>范围</w:t>
      </w:r>
      <w:bookmarkEnd w:id="23"/>
      <w:bookmarkEnd w:id="24"/>
    </w:p>
    <w:p w14:paraId="14994844">
      <w:pPr>
        <w:adjustRightInd/>
        <w:spacing w:line="240" w:lineRule="auto"/>
        <w:ind w:firstLine="210" w:firstLineChars="100"/>
        <w:rPr>
          <w:rFonts w:hint="eastAsia" w:ascii="Times New Roman" w:hAnsi="Times New Roman"/>
          <w:szCs w:val="24"/>
        </w:rPr>
      </w:pPr>
      <w:r>
        <w:rPr>
          <w:rFonts w:hint="eastAsia" w:ascii="Times New Roman" w:hAnsi="Times New Roman"/>
          <w:szCs w:val="24"/>
        </w:rPr>
        <w:t>本文件规定了河道生态护坡水利施工</w:t>
      </w:r>
      <w:r>
        <w:rPr>
          <w:rFonts w:hint="eastAsia" w:ascii="Times New Roman" w:hAnsi="Times New Roman"/>
          <w:szCs w:val="24"/>
          <w:highlight w:val="none"/>
        </w:rPr>
        <w:t>的基本规定、施工准备、材料要求、施工工艺、质量控制、安全与环境保护、验收与维护管理。</w:t>
      </w:r>
    </w:p>
    <w:p w14:paraId="3FC4E26B">
      <w:pPr>
        <w:adjustRightInd/>
        <w:spacing w:line="240" w:lineRule="auto"/>
        <w:ind w:firstLine="210" w:firstLineChars="100"/>
        <w:rPr>
          <w:rFonts w:hint="eastAsia" w:ascii="Times New Roman" w:hAnsi="Times New Roman"/>
          <w:szCs w:val="24"/>
        </w:rPr>
      </w:pPr>
      <w:r>
        <w:rPr>
          <w:rFonts w:hint="eastAsia" w:ascii="Times New Roman" w:hAnsi="Times New Roman"/>
          <w:szCs w:val="24"/>
        </w:rPr>
        <w:t>本文件主要适用于新建、改建或扩建的水利工程中河道生态护坡的施工与管理。其他涉水工程的生态边坡施工可参照执行。</w:t>
      </w:r>
    </w:p>
    <w:p w14:paraId="68E18B3B">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highlight w:val="none"/>
          <w:lang w:val="en-US" w:eastAsia="zh-CN"/>
        </w:rPr>
      </w:pPr>
      <w:bookmarkStart w:id="27" w:name="_Toc534381561"/>
      <w:bookmarkStart w:id="28" w:name="_Toc9180"/>
      <w:r>
        <w:rPr>
          <w:rFonts w:hint="eastAsia" w:ascii="Times New Roman" w:hAnsi="Times New Roman" w:eastAsia="黑体"/>
          <w:b/>
          <w:bCs w:val="0"/>
          <w:kern w:val="44"/>
          <w:highlight w:val="none"/>
          <w:lang w:val="en-US" w:eastAsia="zh-CN"/>
        </w:rPr>
        <w:t>规范性引用文件</w:t>
      </w:r>
      <w:bookmarkEnd w:id="27"/>
      <w:bookmarkEnd w:id="28"/>
    </w:p>
    <w:p w14:paraId="35A3F7D3">
      <w:pPr>
        <w:adjustRightInd/>
        <w:spacing w:line="240" w:lineRule="auto"/>
        <w:ind w:firstLine="420" w:firstLineChars="200"/>
        <w:rPr>
          <w:rFonts w:ascii="Times New Roman" w:hAnsi="Times New Roman"/>
          <w:szCs w:val="24"/>
        </w:rPr>
      </w:pPr>
      <w:r>
        <w:rPr>
          <w:rFonts w:hint="eastAsia" w:ascii="Times New Roman" w:hAnsi="Times New Roman"/>
          <w:szCs w:val="24"/>
        </w:rPr>
        <w:t>下列文件对于本文件的应用是必不可少的。凡是注日期的引用文件，仅所注日期的版本适用于本文件。凡是不注日期的引用文件，其最新版本（包括所有的修改单）适用于本文件。</w:t>
      </w:r>
    </w:p>
    <w:p w14:paraId="5C28E6E1">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8978-1996 污水综合排放标准</w:t>
      </w:r>
    </w:p>
    <w:p w14:paraId="17F035E2">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12523-2011 建筑施工场界环境噪声排放标准</w:t>
      </w:r>
    </w:p>
    <w:p w14:paraId="74CE7B24">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16297-1996大气污染物综合排放标准</w:t>
      </w:r>
    </w:p>
    <w:p w14:paraId="47246788">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17639-2023 土工合成材料 长丝纺粘针刺非织造土工布</w:t>
      </w:r>
    </w:p>
    <w:p w14:paraId="08E6CF43">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17689-2008 土工合成材料 塑料土工格栅</w:t>
      </w:r>
    </w:p>
    <w:p w14:paraId="1A9ECF7C">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19470-2004 土工合成材料 塑料土工网</w:t>
      </w:r>
    </w:p>
    <w:p w14:paraId="7031E302">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21825-2008 玻璃纤维土工格栅</w:t>
      </w:r>
    </w:p>
    <w:p w14:paraId="000D34AC">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24493-2009 装饰混凝土砖</w:t>
      </w:r>
    </w:p>
    <w:p w14:paraId="195DFE44">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35468-2017 种植屋面用耐根穿刺防水卷材</w:t>
      </w:r>
    </w:p>
    <w:p w14:paraId="13E9D156">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50194-2014 建设工程施工现场供用电安全规范</w:t>
      </w:r>
    </w:p>
    <w:p w14:paraId="65EF1E3F">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50201-2014 防洪标准(附条文说明)</w:t>
      </w:r>
    </w:p>
    <w:p w14:paraId="26063EA1">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 50203-2011 砌体结构工程施工质量验收规范</w:t>
      </w:r>
    </w:p>
    <w:p w14:paraId="09960598">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50290-2014 土工合成材料应用技术规范</w:t>
      </w:r>
    </w:p>
    <w:p w14:paraId="1191DBD0">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GB/T 50905-2014 建筑工程绿色施工规范</w:t>
      </w:r>
    </w:p>
    <w:p w14:paraId="7F664EEE">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CJJ 82-2012 园林绿化工程施工及验收规范(附条文说明)</w:t>
      </w:r>
    </w:p>
    <w:p w14:paraId="3CA4AA72">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CJ/T 340-2016 绿化种植土壤</w:t>
      </w:r>
    </w:p>
    <w:p w14:paraId="58EA1CB5">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JC/T 2557-2020 植生混凝土</w:t>
      </w:r>
    </w:p>
    <w:p w14:paraId="121BC3D8">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SL/T 52-2015 水利水电工程施工测量规范</w:t>
      </w:r>
    </w:p>
    <w:p w14:paraId="159C57E7">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SL/T 223-2025 水利水电建设工程验收规程(附条文说明)</w:t>
      </w:r>
    </w:p>
    <w:p w14:paraId="41D39F58">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 260-2014 堤防工程施工规范</w:t>
      </w:r>
    </w:p>
    <w:p w14:paraId="04404477">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 303-2017 水利水电工程施工组织设计规范</w:t>
      </w:r>
    </w:p>
    <w:p w14:paraId="248913E9">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 387-2007 开发建设项目水土保持设施验收技术规程</w:t>
      </w:r>
    </w:p>
    <w:p w14:paraId="0795135D">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 398-2007 水利水电工程施工通用安全技术规程</w:t>
      </w:r>
    </w:p>
    <w:p w14:paraId="55EEC108">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 642-2013水利水电地下工程施工组织设计规范</w:t>
      </w:r>
    </w:p>
    <w:p w14:paraId="3B4D90C1">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SL/T 721-2015 水利水电工程施工安全管理导则</w:t>
      </w:r>
    </w:p>
    <w:p w14:paraId="4535F67B">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SL/T 734-2016 水利工程质量检测技术规程</w:t>
      </w:r>
    </w:p>
    <w:p w14:paraId="3205B6B1">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YB/T 4190-2018 工程用机编钢丝网及组合体</w:t>
      </w:r>
    </w:p>
    <w:p w14:paraId="73A05AAE">
      <w:pPr>
        <w:adjustRightInd/>
        <w:spacing w:after="120" w:line="24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YB/T 5294-2009 一般用途低碳钢丝</w:t>
      </w:r>
    </w:p>
    <w:p w14:paraId="761CDEC5">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highlight w:val="none"/>
          <w:lang w:val="en-US" w:eastAsia="zh-CN"/>
        </w:rPr>
      </w:pPr>
      <w:bookmarkStart w:id="29" w:name="_Toc534381562"/>
      <w:bookmarkEnd w:id="29"/>
      <w:bookmarkStart w:id="30" w:name="_Toc18957"/>
      <w:r>
        <w:rPr>
          <w:rFonts w:hint="eastAsia" w:ascii="Times New Roman" w:hAnsi="Times New Roman" w:eastAsia="黑体"/>
          <w:b/>
          <w:bCs w:val="0"/>
          <w:kern w:val="44"/>
          <w:highlight w:val="none"/>
          <w:lang w:val="en-US" w:eastAsia="zh-CN"/>
        </w:rPr>
        <w:t>术语</w:t>
      </w:r>
      <w:bookmarkEnd w:id="30"/>
    </w:p>
    <w:p w14:paraId="3F9A344D">
      <w:pPr>
        <w:adjustRightInd/>
        <w:spacing w:after="120" w:line="360" w:lineRule="auto"/>
        <w:ind w:firstLine="420" w:firstLineChars="200"/>
        <w:rPr>
          <w:rFonts w:hint="eastAsia" w:ascii="Times New Roman" w:hAnsi="Times New Roman"/>
          <w:szCs w:val="24"/>
        </w:rPr>
      </w:pPr>
      <w:r>
        <w:rPr>
          <w:rFonts w:hint="eastAsia" w:ascii="Times New Roman" w:hAnsi="Times New Roman"/>
          <w:szCs w:val="24"/>
        </w:rPr>
        <w:t>下列术语和定义适用于本文件。</w:t>
      </w:r>
    </w:p>
    <w:p w14:paraId="19824FC8">
      <w:pPr>
        <w:adjustRightInd/>
        <w:spacing w:line="240" w:lineRule="auto"/>
        <w:rPr>
          <w:rFonts w:ascii="Times New Roman" w:hAnsi="Times New Roman"/>
          <w:b/>
          <w:szCs w:val="24"/>
        </w:rPr>
      </w:pPr>
      <w:bookmarkStart w:id="31" w:name="_Toc3451"/>
      <w:bookmarkStart w:id="32" w:name="_Toc30657"/>
      <w:r>
        <w:rPr>
          <w:rFonts w:hint="eastAsia" w:ascii="Times New Roman" w:hAnsi="Times New Roman"/>
          <w:b/>
          <w:szCs w:val="24"/>
        </w:rPr>
        <w:t>3.1</w:t>
      </w:r>
    </w:p>
    <w:bookmarkEnd w:id="31"/>
    <w:bookmarkEnd w:id="32"/>
    <w:p w14:paraId="54DDB716">
      <w:pPr>
        <w:adjustRightInd/>
        <w:spacing w:after="120" w:line="360" w:lineRule="auto"/>
        <w:ind w:firstLine="420" w:firstLineChars="200"/>
        <w:rPr>
          <w:rFonts w:hint="eastAsia" w:ascii="Times New Roman" w:hAnsi="Times New Roman"/>
          <w:szCs w:val="24"/>
        </w:rPr>
      </w:pPr>
      <w:r>
        <w:rPr>
          <w:rFonts w:hint="eastAsia" w:ascii="Times New Roman" w:hAnsi="Times New Roman"/>
          <w:szCs w:val="24"/>
        </w:rPr>
        <w:t>生态护坡 ecological slope protection</w:t>
      </w:r>
    </w:p>
    <w:p w14:paraId="3136B9FD">
      <w:pPr>
        <w:adjustRightInd/>
        <w:spacing w:after="120" w:line="360" w:lineRule="auto"/>
        <w:ind w:firstLine="420" w:firstLineChars="200"/>
        <w:rPr>
          <w:rFonts w:ascii="Times New Roman" w:hAnsi="Times New Roman"/>
          <w:szCs w:val="24"/>
          <w:highlight w:val="green"/>
        </w:rPr>
      </w:pPr>
      <w:r>
        <w:rPr>
          <w:rFonts w:hint="eastAsia" w:ascii="Times New Roman" w:hAnsi="Times New Roman"/>
          <w:szCs w:val="24"/>
        </w:rPr>
        <w:t>在稳定河道岸坡、保障防洪安全的基础上，采用天然材料、生态工程材料或柔性结构，与植被相结合，构建的具有透水、透气、可生长植物、能恢复河流生态功能及景观效果的护坡形式。</w:t>
      </w:r>
    </w:p>
    <w:p w14:paraId="32D22224">
      <w:pPr>
        <w:adjustRightInd/>
        <w:spacing w:line="240" w:lineRule="auto"/>
        <w:rPr>
          <w:rFonts w:ascii="Times New Roman" w:hAnsi="Times New Roman"/>
          <w:b/>
          <w:szCs w:val="24"/>
          <w:highlight w:val="none"/>
        </w:rPr>
      </w:pPr>
      <w:bookmarkStart w:id="33" w:name="_Toc85553243"/>
      <w:bookmarkEnd w:id="33"/>
      <w:bookmarkStart w:id="34" w:name="_Toc5179"/>
      <w:bookmarkStart w:id="35" w:name="_Toc6358"/>
      <w:r>
        <w:rPr>
          <w:rFonts w:hint="eastAsia" w:ascii="Times New Roman" w:hAnsi="Times New Roman"/>
          <w:b/>
          <w:szCs w:val="24"/>
          <w:highlight w:val="none"/>
        </w:rPr>
        <w:t>3.2</w:t>
      </w:r>
    </w:p>
    <w:bookmarkEnd w:id="34"/>
    <w:bookmarkEnd w:id="35"/>
    <w:p w14:paraId="1B62AF8E">
      <w:pPr>
        <w:adjustRightInd/>
        <w:spacing w:line="360" w:lineRule="auto"/>
        <w:ind w:firstLine="420" w:firstLineChars="200"/>
        <w:rPr>
          <w:rFonts w:hint="eastAsia" w:ascii="Times New Roman" w:hAnsi="Times New Roman"/>
          <w:szCs w:val="24"/>
          <w:lang w:eastAsia="zh-CN"/>
        </w:rPr>
      </w:pPr>
      <w:r>
        <w:rPr>
          <w:rFonts w:hint="eastAsia" w:ascii="Times New Roman" w:hAnsi="Times New Roman"/>
          <w:szCs w:val="24"/>
          <w:lang w:eastAsia="zh-CN"/>
        </w:rPr>
        <w:t>生态砌块 ecological block</w:t>
      </w:r>
    </w:p>
    <w:p w14:paraId="7A0CC44C">
      <w:pPr>
        <w:adjustRightInd/>
        <w:spacing w:line="360" w:lineRule="auto"/>
        <w:ind w:firstLine="420" w:firstLineChars="200"/>
        <w:rPr>
          <w:rFonts w:hint="eastAsia" w:ascii="Times New Roman" w:hAnsi="Times New Roman" w:eastAsia="宋体"/>
          <w:szCs w:val="24"/>
          <w:highlight w:val="green"/>
          <w:lang w:eastAsia="zh-CN"/>
        </w:rPr>
      </w:pPr>
      <w:r>
        <w:rPr>
          <w:rFonts w:hint="eastAsia" w:ascii="Times New Roman" w:hAnsi="Times New Roman"/>
          <w:szCs w:val="24"/>
          <w:lang w:eastAsia="zh-CN"/>
        </w:rPr>
        <w:t>具有特定规则结构形态（如空心、多孔、鱼巢状等），能为植物生长和生物栖息提供空间，用于干砌或拼装成护坡结构的预制混凝土构件。</w:t>
      </w:r>
    </w:p>
    <w:p w14:paraId="02417FF9">
      <w:pPr>
        <w:adjustRightInd/>
        <w:spacing w:line="240" w:lineRule="auto"/>
        <w:rPr>
          <w:rFonts w:ascii="Times New Roman" w:hAnsi="Times New Roman"/>
          <w:b/>
          <w:szCs w:val="24"/>
          <w:highlight w:val="none"/>
        </w:rPr>
      </w:pPr>
      <w:bookmarkStart w:id="36" w:name="_Toc85553244"/>
      <w:bookmarkEnd w:id="36"/>
      <w:bookmarkStart w:id="37" w:name="_Toc27540"/>
      <w:bookmarkStart w:id="38" w:name="_Toc22665"/>
      <w:r>
        <w:rPr>
          <w:rFonts w:hint="eastAsia" w:ascii="Times New Roman" w:hAnsi="Times New Roman"/>
          <w:b/>
          <w:szCs w:val="24"/>
          <w:highlight w:val="none"/>
        </w:rPr>
        <w:t>3.3</w:t>
      </w:r>
    </w:p>
    <w:bookmarkEnd w:id="37"/>
    <w:bookmarkEnd w:id="38"/>
    <w:p w14:paraId="2FC25308">
      <w:pPr>
        <w:adjustRightInd/>
        <w:spacing w:line="36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石笼 gabion</w:t>
      </w:r>
    </w:p>
    <w:p w14:paraId="630E794C">
      <w:pPr>
        <w:adjustRightInd/>
        <w:spacing w:line="360" w:lineRule="auto"/>
        <w:ind w:firstLine="420" w:firstLineChars="200"/>
        <w:rPr>
          <w:rFonts w:hint="eastAsia" w:ascii="Times New Roman" w:hAnsi="Times New Roman" w:eastAsia="宋体"/>
          <w:szCs w:val="24"/>
          <w:highlight w:val="none"/>
          <w:lang w:eastAsia="zh-CN"/>
        </w:rPr>
      </w:pPr>
      <w:r>
        <w:rPr>
          <w:rFonts w:hint="eastAsia" w:ascii="Times New Roman" w:hAnsi="Times New Roman"/>
          <w:szCs w:val="24"/>
          <w:highlight w:val="none"/>
        </w:rPr>
        <w:t>将抗腐蚀、耐磨损的钢丝网编织成箱形或垫形结构，内填石料，用于护坡、护底的结构体。又称格宾、格网网箱</w:t>
      </w:r>
      <w:r>
        <w:rPr>
          <w:rFonts w:hint="eastAsia" w:ascii="Times New Roman" w:hAnsi="Times New Roman"/>
          <w:szCs w:val="24"/>
          <w:highlight w:val="none"/>
          <w:lang w:eastAsia="zh-CN"/>
        </w:rPr>
        <w:t>。</w:t>
      </w:r>
    </w:p>
    <w:p w14:paraId="2700E050">
      <w:pPr>
        <w:adjustRightInd/>
        <w:spacing w:line="240" w:lineRule="auto"/>
        <w:rPr>
          <w:rFonts w:ascii="Times New Roman" w:hAnsi="Times New Roman"/>
          <w:b/>
          <w:szCs w:val="24"/>
          <w:highlight w:val="none"/>
        </w:rPr>
      </w:pPr>
      <w:bookmarkStart w:id="39" w:name="_Toc85553245"/>
      <w:bookmarkEnd w:id="39"/>
      <w:bookmarkStart w:id="40" w:name="_Toc18827"/>
      <w:bookmarkStart w:id="41" w:name="_Toc4076"/>
      <w:r>
        <w:rPr>
          <w:rFonts w:hint="eastAsia" w:ascii="Times New Roman" w:hAnsi="Times New Roman"/>
          <w:b/>
          <w:szCs w:val="24"/>
          <w:highlight w:val="none"/>
        </w:rPr>
        <w:t>3.4</w:t>
      </w:r>
    </w:p>
    <w:bookmarkEnd w:id="40"/>
    <w:bookmarkEnd w:id="41"/>
    <w:p w14:paraId="7AD9B62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土工材料复合植被护坡 composite geomaterial and vegetation slope protection</w:t>
      </w:r>
    </w:p>
    <w:p w14:paraId="6D0CB52F">
      <w:pPr>
        <w:adjustRightInd/>
        <w:spacing w:line="360" w:lineRule="auto"/>
        <w:ind w:firstLine="420" w:firstLineChars="200"/>
        <w:rPr>
          <w:rFonts w:ascii="Times New Roman" w:hAnsi="Times New Roman"/>
          <w:szCs w:val="24"/>
          <w:highlight w:val="none"/>
        </w:rPr>
      </w:pPr>
      <w:r>
        <w:rPr>
          <w:rFonts w:hint="eastAsia" w:ascii="Times New Roman" w:hAnsi="Times New Roman"/>
          <w:szCs w:val="24"/>
        </w:rPr>
        <w:t>采用土工网垫、植生毯、生态袋等土工合成材料与植被相结合，利用材料加固和植物根系固土的共同作用，起到固土护坡和生态恢复作用的护坡形式</w:t>
      </w:r>
      <w:r>
        <w:rPr>
          <w:rFonts w:ascii="Times New Roman" w:hAnsi="Times New Roman"/>
          <w:szCs w:val="24"/>
          <w:highlight w:val="none"/>
        </w:rPr>
        <w:t>。</w:t>
      </w:r>
    </w:p>
    <w:p w14:paraId="4B68638D">
      <w:pPr>
        <w:adjustRightInd/>
        <w:spacing w:line="240" w:lineRule="auto"/>
        <w:rPr>
          <w:rFonts w:ascii="Times New Roman" w:hAnsi="Times New Roman"/>
          <w:b/>
          <w:szCs w:val="24"/>
          <w:highlight w:val="none"/>
        </w:rPr>
      </w:pPr>
      <w:bookmarkStart w:id="42" w:name="_Toc85553246"/>
      <w:bookmarkEnd w:id="42"/>
      <w:bookmarkStart w:id="43" w:name="_Toc23396"/>
      <w:bookmarkStart w:id="44" w:name="_Toc7210"/>
      <w:r>
        <w:rPr>
          <w:rFonts w:hint="eastAsia" w:ascii="Times New Roman" w:hAnsi="Times New Roman"/>
          <w:b/>
          <w:szCs w:val="24"/>
          <w:highlight w:val="none"/>
        </w:rPr>
        <w:t>3.5</w:t>
      </w:r>
    </w:p>
    <w:bookmarkEnd w:id="43"/>
    <w:bookmarkEnd w:id="44"/>
    <w:p w14:paraId="5573FB45">
      <w:pPr>
        <w:adjustRightInd/>
        <w:spacing w:line="360" w:lineRule="auto"/>
        <w:ind w:firstLine="420" w:firstLineChars="200"/>
        <w:rPr>
          <w:rFonts w:hint="eastAsia" w:ascii="Times New Roman" w:hAnsi="Times New Roman"/>
          <w:szCs w:val="24"/>
          <w:highlight w:val="none"/>
        </w:rPr>
      </w:pPr>
      <w:r>
        <w:rPr>
          <w:rFonts w:hint="eastAsia" w:ascii="Times New Roman" w:hAnsi="Times New Roman"/>
          <w:szCs w:val="24"/>
          <w:highlight w:val="none"/>
        </w:rPr>
        <w:t>植被覆盖率 vegetation coverage rate</w:t>
      </w:r>
    </w:p>
    <w:p w14:paraId="6984A830">
      <w:pPr>
        <w:adjustRightInd/>
        <w:spacing w:line="360" w:lineRule="auto"/>
        <w:ind w:firstLine="420" w:firstLineChars="200"/>
        <w:rPr>
          <w:rFonts w:ascii="Times New Roman" w:hAnsi="Times New Roman"/>
          <w:szCs w:val="24"/>
          <w:highlight w:val="none"/>
        </w:rPr>
      </w:pPr>
      <w:r>
        <w:rPr>
          <w:rFonts w:hint="eastAsia" w:ascii="Times New Roman" w:hAnsi="Times New Roman"/>
          <w:szCs w:val="24"/>
          <w:highlight w:val="none"/>
        </w:rPr>
        <w:t>在一定的观测范围内，植被（包括乔木、灌木、草本植物）的冠层、枝叶垂直投影面积占该区域总面积的百分比</w:t>
      </w:r>
      <w:r>
        <w:rPr>
          <w:rFonts w:ascii="Times New Roman" w:hAnsi="Times New Roman"/>
          <w:szCs w:val="24"/>
          <w:highlight w:val="none"/>
        </w:rPr>
        <w:t>。</w:t>
      </w:r>
    </w:p>
    <w:p w14:paraId="1281C41E">
      <w:pPr>
        <w:adjustRightInd/>
        <w:spacing w:line="240" w:lineRule="auto"/>
        <w:rPr>
          <w:rFonts w:ascii="Times New Roman" w:hAnsi="Times New Roman"/>
          <w:b/>
          <w:szCs w:val="24"/>
          <w:highlight w:val="none"/>
        </w:rPr>
      </w:pPr>
      <w:bookmarkStart w:id="45" w:name="_Toc85553247"/>
      <w:bookmarkEnd w:id="45"/>
      <w:bookmarkStart w:id="46" w:name="_Toc22449"/>
      <w:bookmarkStart w:id="47" w:name="_Toc25166"/>
      <w:r>
        <w:rPr>
          <w:rFonts w:hint="eastAsia" w:ascii="Times New Roman" w:hAnsi="Times New Roman"/>
          <w:b/>
          <w:szCs w:val="24"/>
          <w:highlight w:val="none"/>
        </w:rPr>
        <w:t>3.6</w:t>
      </w:r>
    </w:p>
    <w:bookmarkEnd w:id="46"/>
    <w:bookmarkEnd w:id="47"/>
    <w:p w14:paraId="7F61E5CC">
      <w:pPr>
        <w:adjustRightInd/>
        <w:spacing w:line="360" w:lineRule="auto"/>
        <w:ind w:firstLine="420" w:firstLineChars="200"/>
        <w:rPr>
          <w:rFonts w:hint="eastAsia" w:ascii="Times New Roman" w:hAnsi="Times New Roman"/>
          <w:szCs w:val="24"/>
          <w:highlight w:val="none"/>
        </w:rPr>
      </w:pPr>
      <w:bookmarkStart w:id="48" w:name="_Toc85553248"/>
      <w:bookmarkEnd w:id="48"/>
      <w:r>
        <w:rPr>
          <w:rFonts w:hint="eastAsia" w:ascii="Times New Roman" w:hAnsi="Times New Roman"/>
          <w:szCs w:val="24"/>
          <w:highlight w:val="none"/>
        </w:rPr>
        <w:t>植生混凝土 vegetation-permeable concrete</w:t>
      </w:r>
    </w:p>
    <w:p w14:paraId="4CE541C6">
      <w:pPr>
        <w:adjustRightInd/>
        <w:spacing w:line="360" w:lineRule="auto"/>
        <w:ind w:firstLine="420" w:firstLineChars="200"/>
        <w:rPr>
          <w:rFonts w:hint="eastAsia" w:ascii="Times New Roman" w:hAnsi="Times New Roman"/>
          <w:szCs w:val="24"/>
          <w:highlight w:val="none"/>
          <w:lang w:eastAsia="zh-CN"/>
        </w:rPr>
      </w:pPr>
      <w:r>
        <w:rPr>
          <w:rFonts w:hint="eastAsia" w:ascii="Times New Roman" w:hAnsi="Times New Roman"/>
          <w:szCs w:val="24"/>
          <w:highlight w:val="none"/>
        </w:rPr>
        <w:t>通过采用单一粒径的粗骨料和特殊配比的胶凝材料，经现场浇筑、振捣成型后，形成具有连续孔隙结构的多孔混凝土。</w:t>
      </w:r>
      <w:bookmarkStart w:id="49" w:name="_Toc85553249"/>
      <w:bookmarkEnd w:id="49"/>
    </w:p>
    <w:p w14:paraId="3BD5815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50" w:name="_Toc85553250"/>
      <w:bookmarkEnd w:id="50"/>
      <w:bookmarkStart w:id="51" w:name="_Toc14810"/>
      <w:r>
        <w:rPr>
          <w:rFonts w:hint="eastAsia" w:ascii="Times New Roman" w:hAnsi="Times New Roman" w:eastAsia="黑体"/>
          <w:b/>
          <w:bCs w:val="0"/>
          <w:kern w:val="44"/>
          <w:lang w:val="en-US" w:eastAsia="zh-CN"/>
        </w:rPr>
        <w:t>基本规定</w:t>
      </w:r>
      <w:bookmarkEnd w:id="51"/>
    </w:p>
    <w:p w14:paraId="67E0992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4.1 生态护坡工程的设计与施工应遵循“安全耐久、生态优先、资源节约、环境友好、协调自然”的原则，在保障河道岸坡稳定、防洪安全及结构耐久性的前提下，最大限度地恢复和构建河岸带的生态功能与自然景观</w:t>
      </w:r>
      <w:r>
        <w:rPr>
          <w:rFonts w:hint="eastAsia" w:ascii="Times New Roman" w:hAnsi="Times New Roman"/>
          <w:szCs w:val="24"/>
          <w:lang w:eastAsia="zh-CN"/>
        </w:rPr>
        <w:t>；工程的防洪标准应符合GB 50201的规定</w:t>
      </w:r>
      <w:r>
        <w:rPr>
          <w:rFonts w:hint="eastAsia" w:ascii="Times New Roman" w:hAnsi="Times New Roman"/>
          <w:szCs w:val="24"/>
        </w:rPr>
        <w:t>。</w:t>
      </w:r>
    </w:p>
    <w:p w14:paraId="4A7E7C6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4.2 工程开工前，建设单位应组织设计、施工等单位进行现场踏勘与设计交底。施工单位应全面核查地质、水文、气象、生态环境等现场条件，其施工组织设计与专项方案</w:t>
      </w:r>
      <w:r>
        <w:rPr>
          <w:rFonts w:hint="eastAsia" w:ascii="Times New Roman" w:hAnsi="Times New Roman"/>
          <w:szCs w:val="24"/>
          <w:lang w:eastAsia="zh-CN"/>
        </w:rPr>
        <w:t>应</w:t>
      </w:r>
      <w:r>
        <w:rPr>
          <w:rFonts w:hint="eastAsia" w:ascii="Times New Roman" w:hAnsi="Times New Roman"/>
          <w:szCs w:val="24"/>
        </w:rPr>
        <w:t>与现场实际情况相符。</w:t>
      </w:r>
    </w:p>
    <w:p w14:paraId="0B9FD9B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4.3 生态护坡工程应与河道的总体规划、行洪排涝、水质净化、生态修复及景观建设等目标相协调，构成完整的河道治理系统。</w:t>
      </w:r>
    </w:p>
    <w:p w14:paraId="283D8F7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4.4 生态护坡结构型式及植物的选择，应因地制宜，综合考虑岸坡土质、水位变幅、流速流量、景观要求及周边环境等因素。重要工程或采用新型技术时，应进行可行性论证或试验段施工。</w:t>
      </w:r>
    </w:p>
    <w:p w14:paraId="2621BD2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4.5 施工过程中，应制定并实施严格的环境保护与水土保持措施，减少对水体、土壤、空气的污染以及对原有植被和生态系统的破坏</w:t>
      </w:r>
      <w:r>
        <w:rPr>
          <w:rFonts w:hint="eastAsia" w:ascii="Times New Roman" w:hAnsi="Times New Roman"/>
          <w:szCs w:val="24"/>
          <w:lang w:eastAsia="zh-CN"/>
        </w:rPr>
        <w:t>，相关措施应符合GB/T 50905及SL 387的规定</w:t>
      </w:r>
      <w:r>
        <w:rPr>
          <w:rFonts w:hint="eastAsia" w:ascii="Times New Roman" w:hAnsi="Times New Roman"/>
          <w:szCs w:val="24"/>
        </w:rPr>
        <w:t>。</w:t>
      </w:r>
    </w:p>
    <w:p w14:paraId="61584D2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4.6 生态护坡工程所用材料应符合国家现行相关标准及设计要求，优先采用天然材料、可再生材料、低碳环保材料及利废材料。严禁使用对水体、土壤和生态环境产生有害影响的材料。</w:t>
      </w:r>
    </w:p>
    <w:p w14:paraId="7FEE8A3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4.7 施工过程中，应重视对古树名木、珍稀濒危动植物及其栖息地的避让与保护。如需移植，应制定专项保护方案并报相关主管部门批准。</w:t>
      </w:r>
    </w:p>
    <w:p w14:paraId="0AADE63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4.8 应积极采用经实践检验行之有效的新技术、新工艺、新材料和新设备，提高施工效率与工程质量，提升生态效益。</w:t>
      </w:r>
    </w:p>
    <w:p w14:paraId="01EF017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4.9 施工单位应建立健全质量管理体系、安全生产保障体系和环境管理体系，对施工全过程进行有效控制。</w:t>
      </w:r>
    </w:p>
    <w:p w14:paraId="73667FC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4.10 生态护坡工程竣工后，应制定并执行相应的长效维护与管理计划，对坡面结构、植被生长及生态效果进行持续监测与养护，确保其功能持续稳定发挥。</w:t>
      </w:r>
    </w:p>
    <w:p w14:paraId="69B8FD71">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default" w:ascii="Times New Roman" w:hAnsi="Times New Roman" w:eastAsia="黑体"/>
          <w:b/>
          <w:bCs w:val="0"/>
          <w:kern w:val="44"/>
          <w:lang w:val="en-US" w:eastAsia="zh-CN"/>
        </w:rPr>
      </w:pPr>
      <w:bookmarkStart w:id="52" w:name="_Toc17921"/>
      <w:r>
        <w:rPr>
          <w:rFonts w:hint="eastAsia" w:ascii="Times New Roman" w:hAnsi="Times New Roman" w:eastAsia="黑体"/>
          <w:b/>
          <w:bCs w:val="0"/>
          <w:kern w:val="44"/>
          <w:lang w:val="en-US" w:eastAsia="zh-CN"/>
        </w:rPr>
        <w:t>施工准备</w:t>
      </w:r>
      <w:bookmarkEnd w:id="52"/>
    </w:p>
    <w:p w14:paraId="48A4146D">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val="en-US" w:eastAsia="zh-CN"/>
        </w:rPr>
      </w:pPr>
      <w:bookmarkStart w:id="53" w:name="_Toc18132"/>
      <w:r>
        <w:rPr>
          <w:rFonts w:hint="eastAsia" w:ascii="Times New Roman" w:hAnsi="Times New Roman" w:eastAsia="黑体" w:cs="黑体"/>
          <w:b/>
          <w:bCs/>
          <w:kern w:val="21"/>
          <w:lang w:val="en-US" w:eastAsia="zh-CN"/>
        </w:rPr>
        <w:t>5</w:t>
      </w:r>
      <w:r>
        <w:rPr>
          <w:rFonts w:hint="eastAsia" w:ascii="Times New Roman" w:hAnsi="Times New Roman" w:eastAsia="黑体" w:cs="黑体"/>
          <w:b/>
          <w:bCs/>
          <w:kern w:val="21"/>
        </w:rPr>
        <w:t>.1</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lang w:val="en-US" w:eastAsia="zh-CN"/>
        </w:rPr>
        <w:t>技术准备</w:t>
      </w:r>
      <w:bookmarkEnd w:id="53"/>
    </w:p>
    <w:p w14:paraId="0A022D5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5.1.1 施工单位应组织有关技术人员全面熟悉施工合同、设计文件、图纸及技术标准，掌握设计意图、工程特点、技术质量要求和关键节点做法。参加由建设单位组织的设计技术交底与图纸会审，并形成会议纪要。</w:t>
      </w:r>
    </w:p>
    <w:p w14:paraId="1C09F88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5.1.2 施工单位应在施工前编制详细的施工组织设计，其内容与深度应符合</w:t>
      </w:r>
      <w:r>
        <w:rPr>
          <w:rFonts w:hint="eastAsia" w:ascii="Times New Roman" w:hAnsi="Times New Roman"/>
          <w:szCs w:val="24"/>
          <w:lang w:val="en-US" w:eastAsia="zh-CN"/>
        </w:rPr>
        <w:t>SL260、</w:t>
      </w:r>
      <w:r>
        <w:rPr>
          <w:rFonts w:hint="eastAsia" w:ascii="Times New Roman" w:hAnsi="Times New Roman"/>
          <w:szCs w:val="24"/>
        </w:rPr>
        <w:t>SL 398</w:t>
      </w:r>
      <w:r>
        <w:rPr>
          <w:rFonts w:hint="eastAsia" w:ascii="Times New Roman" w:hAnsi="Times New Roman"/>
          <w:szCs w:val="24"/>
          <w:lang w:eastAsia="zh-CN"/>
        </w:rPr>
        <w:t>、</w:t>
      </w:r>
      <w:r>
        <w:rPr>
          <w:rFonts w:hint="eastAsia" w:ascii="Times New Roman" w:hAnsi="Times New Roman"/>
          <w:szCs w:val="24"/>
        </w:rPr>
        <w:t>SL 303及SL 642</w:t>
      </w:r>
      <w:r>
        <w:rPr>
          <w:rFonts w:hint="eastAsia" w:ascii="Times New Roman" w:hAnsi="Times New Roman"/>
          <w:szCs w:val="24"/>
          <w:lang w:eastAsia="zh-CN"/>
        </w:rPr>
        <w:t>（仲裁以</w:t>
      </w:r>
      <w:r>
        <w:rPr>
          <w:rFonts w:hint="eastAsia" w:ascii="Times New Roman" w:hAnsi="Times New Roman"/>
          <w:szCs w:val="24"/>
          <w:lang w:val="en-US" w:eastAsia="zh-CN"/>
        </w:rPr>
        <w:t>SL260为准）</w:t>
      </w:r>
      <w:r>
        <w:rPr>
          <w:rFonts w:hint="eastAsia" w:ascii="Times New Roman" w:hAnsi="Times New Roman"/>
          <w:szCs w:val="24"/>
        </w:rPr>
        <w:t>的规定</w:t>
      </w:r>
      <w:r>
        <w:rPr>
          <w:rFonts w:hint="eastAsia" w:ascii="Times New Roman" w:hAnsi="Times New Roman"/>
          <w:szCs w:val="24"/>
          <w:lang w:eastAsia="zh-CN"/>
        </w:rPr>
        <w:t>。</w:t>
      </w:r>
      <w:r>
        <w:rPr>
          <w:rFonts w:hint="eastAsia" w:ascii="Times New Roman" w:hAnsi="Times New Roman"/>
          <w:szCs w:val="24"/>
        </w:rPr>
        <w:t>对于重点部位、关键工序或采用新技术、新工艺的工程，应编制专项施工方案</w:t>
      </w:r>
      <w:r>
        <w:rPr>
          <w:rFonts w:hint="eastAsia" w:ascii="Times New Roman" w:hAnsi="Times New Roman"/>
          <w:szCs w:val="24"/>
          <w:lang w:val="en-US" w:eastAsia="zh-CN"/>
        </w:rPr>
        <w:t>,方案应按规定程序报批，经监理单位审查、建设单位批准后实施。</w:t>
      </w:r>
      <w:r>
        <w:rPr>
          <w:rFonts w:hint="eastAsia" w:ascii="Times New Roman" w:hAnsi="Times New Roman"/>
          <w:szCs w:val="24"/>
        </w:rPr>
        <w:t>施工组织设计与专项方案内容应完整，包括但不限于：</w:t>
      </w:r>
    </w:p>
    <w:p w14:paraId="6DFA887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a) 工程概况、施工部署及进度计划；</w:t>
      </w:r>
    </w:p>
    <w:p w14:paraId="49E5D73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b) 施工工艺技术参数、工艺流程、施工方法、操作要点及质量标准；</w:t>
      </w:r>
    </w:p>
    <w:p w14:paraId="4D7D0F1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c) 施工质量、安全、环保保证措施及应急预案；</w:t>
      </w:r>
    </w:p>
    <w:p w14:paraId="5E28ABA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d) 施工人员、机械设备、材料供应计划；</w:t>
      </w:r>
    </w:p>
    <w:p w14:paraId="7BF82F0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e) 施工测量、试验检测计划；</w:t>
      </w:r>
    </w:p>
    <w:p w14:paraId="1493FC6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f) 水土保持与环境保护专项措施。</w:t>
      </w:r>
    </w:p>
    <w:p w14:paraId="6192C9A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5.1.3 施工前，项目技术负责人</w:t>
      </w:r>
      <w:r>
        <w:rPr>
          <w:rFonts w:hint="eastAsia" w:ascii="Times New Roman" w:hAnsi="Times New Roman"/>
          <w:szCs w:val="24"/>
          <w:lang w:eastAsia="zh-CN"/>
        </w:rPr>
        <w:t>应</w:t>
      </w:r>
      <w:r>
        <w:rPr>
          <w:rFonts w:hint="eastAsia" w:ascii="Times New Roman" w:hAnsi="Times New Roman"/>
          <w:szCs w:val="24"/>
        </w:rPr>
        <w:t>向所有参与施工的管理人员、作业班组进行书面技术、质量、安全及环保交底。交底内容应针对性强，并履行签字确认手续。</w:t>
      </w:r>
    </w:p>
    <w:p w14:paraId="1571E8C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5.1.4 应根据工程需要，对施工人员进行必要的生态护坡专业技术培训和操作技能考核，特殊工种作业人员</w:t>
      </w:r>
      <w:r>
        <w:rPr>
          <w:rFonts w:hint="eastAsia" w:ascii="Times New Roman" w:hAnsi="Times New Roman"/>
          <w:szCs w:val="24"/>
          <w:lang w:eastAsia="zh-CN"/>
        </w:rPr>
        <w:t>应</w:t>
      </w:r>
      <w:r>
        <w:rPr>
          <w:rFonts w:hint="eastAsia" w:ascii="Times New Roman" w:hAnsi="Times New Roman"/>
          <w:szCs w:val="24"/>
        </w:rPr>
        <w:t>持证上岗。。</w:t>
      </w:r>
    </w:p>
    <w:p w14:paraId="2DB20C38">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val="en-US" w:eastAsia="zh-CN"/>
        </w:rPr>
      </w:pPr>
      <w:bookmarkStart w:id="54" w:name="_Toc27827"/>
      <w:r>
        <w:rPr>
          <w:rFonts w:hint="eastAsia" w:ascii="Times New Roman" w:hAnsi="Times New Roman" w:eastAsia="黑体" w:cs="黑体"/>
          <w:b/>
          <w:bCs/>
          <w:kern w:val="21"/>
          <w:lang w:val="en-US" w:eastAsia="zh-CN"/>
        </w:rPr>
        <w:t>5</w:t>
      </w:r>
      <w:r>
        <w:rPr>
          <w:rFonts w:hint="eastAsia" w:ascii="Times New Roman" w:hAnsi="Times New Roman" w:eastAsia="黑体" w:cs="黑体"/>
          <w:b/>
          <w:bCs/>
          <w:kern w:val="21"/>
        </w:rPr>
        <w:t>.</w:t>
      </w:r>
      <w:r>
        <w:rPr>
          <w:rFonts w:hint="eastAsia" w:ascii="Times New Roman" w:hAnsi="Times New Roman" w:eastAsia="黑体" w:cs="黑体"/>
          <w:b/>
          <w:bCs/>
          <w:kern w:val="21"/>
          <w:lang w:val="en-US" w:eastAsia="zh-CN"/>
        </w:rPr>
        <w:t xml:space="preserve">2  </w:t>
      </w:r>
      <w:r>
        <w:rPr>
          <w:rFonts w:hint="eastAsia" w:ascii="Times New Roman" w:hAnsi="Times New Roman" w:eastAsia="黑体" w:cs="黑体"/>
          <w:b w:val="0"/>
          <w:bCs w:val="0"/>
          <w:kern w:val="21"/>
        </w:rPr>
        <w:t>现场准备</w:t>
      </w:r>
      <w:bookmarkEnd w:id="54"/>
    </w:p>
    <w:p w14:paraId="2F4609B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5.2.1 应依据设计图纸和测量基准点，完成施工场地的测量控制网布设和岸坡的定位放线，明确标示出坡顶线、坡脚线、平台、格宾网箱、生态砌块等结构物的边线与高程控制点，并进行复核校验，测量精度应满足规范要求。</w:t>
      </w:r>
    </w:p>
    <w:p w14:paraId="12D8F8F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5.2.2 应完成施工现场的“三通一平”（通水、通电、通路，平整场地），合理规划并修建临时施工道路、材料堆放与加工场地、临时仓库、办公及生活设施。场地布置应减少对原地貌和植被的破坏，并满足安全、防汛、消防和环保要求。</w:t>
      </w:r>
    </w:p>
    <w:p w14:paraId="093D310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5.2.3 应设置完善的现场临时排水系统，包括坡顶截水沟、基坑排水、沉淀池等，防止水土流失和施工废水直接排入河道。</w:t>
      </w:r>
    </w:p>
    <w:p w14:paraId="45F1765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5.2.4 应在危险作业区域、坑洞、临水岸边等场所，设置明显的安全警示标志和可靠的防护栏杆、安全网等防护设施。</w:t>
      </w:r>
    </w:p>
    <w:p w14:paraId="62F2AC2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5.2.5 应对施工范围内的地下管线、构筑物及障碍物进行核查与保护，必要时与相关产权单位沟通并采取保护或迁移措施。</w:t>
      </w:r>
    </w:p>
    <w:p w14:paraId="6F1F5642">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val="en-US" w:eastAsia="zh-CN"/>
        </w:rPr>
      </w:pPr>
      <w:bookmarkStart w:id="55" w:name="_Toc31104"/>
      <w:r>
        <w:rPr>
          <w:rFonts w:hint="eastAsia" w:ascii="Times New Roman" w:hAnsi="Times New Roman" w:eastAsia="黑体" w:cs="黑体"/>
          <w:b/>
          <w:bCs/>
          <w:kern w:val="21"/>
          <w:lang w:val="en-US" w:eastAsia="zh-CN"/>
        </w:rPr>
        <w:t>5</w:t>
      </w:r>
      <w:r>
        <w:rPr>
          <w:rFonts w:hint="eastAsia" w:ascii="Times New Roman" w:hAnsi="Times New Roman" w:eastAsia="黑体" w:cs="黑体"/>
          <w:b/>
          <w:bCs/>
          <w:kern w:val="21"/>
        </w:rPr>
        <w:t>.</w:t>
      </w:r>
      <w:r>
        <w:rPr>
          <w:rFonts w:hint="eastAsia" w:ascii="Times New Roman" w:hAnsi="Times New Roman" w:eastAsia="黑体" w:cs="黑体"/>
          <w:b/>
          <w:bCs/>
          <w:kern w:val="21"/>
          <w:lang w:val="en-US" w:eastAsia="zh-CN"/>
        </w:rPr>
        <w:t xml:space="preserve">3  </w:t>
      </w:r>
      <w:r>
        <w:rPr>
          <w:rFonts w:hint="eastAsia" w:ascii="Times New Roman" w:hAnsi="Times New Roman" w:eastAsia="黑体" w:cs="黑体"/>
          <w:b w:val="0"/>
          <w:bCs w:val="0"/>
          <w:kern w:val="21"/>
          <w:lang w:val="en-US" w:eastAsia="zh-CN"/>
        </w:rPr>
        <w:t>材料与设备准备</w:t>
      </w:r>
      <w:bookmarkEnd w:id="55"/>
    </w:p>
    <w:p w14:paraId="653A500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5.3.1 应根据施工进度计划和材料需求计划，组织合格供应商采购工程材料。主要材料（如生态砌块、石料、土工材料、植物等）进场计划应提前报监理单位审核。</w:t>
      </w:r>
    </w:p>
    <w:p w14:paraId="5AA9EBB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5.3.2 所有进场材料</w:t>
      </w:r>
      <w:r>
        <w:rPr>
          <w:rFonts w:hint="eastAsia" w:ascii="Times New Roman" w:hAnsi="Times New Roman"/>
          <w:szCs w:val="24"/>
          <w:lang w:eastAsia="zh-CN"/>
        </w:rPr>
        <w:t>应</w:t>
      </w:r>
      <w:r>
        <w:rPr>
          <w:rFonts w:hint="eastAsia" w:ascii="Times New Roman" w:hAnsi="Times New Roman"/>
          <w:szCs w:val="24"/>
        </w:rPr>
        <w:t>具有质量证明文件（合格证、质检报告等），并按规定进行抽样检验，检验项目、频次及方法应符合设计及国家、行业现行标准的规定。检验不合格的材料严禁使用，并应及时清退出场。</w:t>
      </w:r>
    </w:p>
    <w:p w14:paraId="4FD4A83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5.3.3 植物材料应选择枝干健壮、根系发达、无病虫害的优良植株。草种、花卉种子应有检疫证明，纯度、发芽率等指标应符合设计要求。苗木的起挖、包装、运输和临时假植应符合规范，防止失水或损伤。</w:t>
      </w:r>
    </w:p>
    <w:p w14:paraId="402E05A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5.3.4 施工机具与设备（如挖掘机、吊装设备、喷播机、混凝土搅拌设备等）应在进场前进行全面检查、调试与维护保养，确保其性能良好、安全装置有效，满足施工工艺和质量要求。</w:t>
      </w:r>
    </w:p>
    <w:p w14:paraId="6693221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5.3.5 应规划好材料的堆放场地，不同材料应分类、分批堆放整齐，设置标识牌。材料堆放应采取防雨、防潮、防损坏等措施。特别是生态袋、植生毯等土工材料应避免长时间暴晒。</w:t>
      </w:r>
    </w:p>
    <w:p w14:paraId="6112C839">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56" w:name="_Toc12682"/>
      <w:r>
        <w:rPr>
          <w:rFonts w:hint="eastAsia" w:ascii="Times New Roman" w:hAnsi="Times New Roman" w:eastAsia="黑体"/>
          <w:b/>
          <w:bCs w:val="0"/>
          <w:kern w:val="44"/>
          <w:lang w:val="en-US" w:eastAsia="zh-CN"/>
        </w:rPr>
        <w:t>材料要求</w:t>
      </w:r>
      <w:bookmarkEnd w:id="56"/>
    </w:p>
    <w:p w14:paraId="549968A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val="en-US" w:eastAsia="zh-CN"/>
        </w:rPr>
      </w:pPr>
      <w:bookmarkStart w:id="57" w:name="_Toc12731"/>
      <w:bookmarkStart w:id="58" w:name="_Toc8459"/>
      <w:r>
        <w:rPr>
          <w:rFonts w:hint="eastAsia" w:ascii="Times New Roman" w:hAnsi="Times New Roman" w:eastAsia="黑体" w:cs="黑体"/>
          <w:b/>
          <w:bCs/>
          <w:kern w:val="21"/>
        </w:rPr>
        <w:t>6.1</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一般</w:t>
      </w:r>
      <w:bookmarkEnd w:id="57"/>
      <w:r>
        <w:rPr>
          <w:rFonts w:hint="eastAsia" w:ascii="Times New Roman" w:hAnsi="Times New Roman" w:eastAsia="黑体" w:cs="黑体"/>
          <w:b w:val="0"/>
          <w:bCs w:val="0"/>
          <w:kern w:val="21"/>
          <w:lang w:eastAsia="zh-CN"/>
        </w:rPr>
        <w:t>要求</w:t>
      </w:r>
      <w:bookmarkEnd w:id="58"/>
    </w:p>
    <w:p w14:paraId="5BE9310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6.1.1 生态护坡工程所用所有材料应符合国家现行有关标准的规定和设计要求，并应优先选用节能、环保、可循环利用的材料。</w:t>
      </w:r>
    </w:p>
    <w:p w14:paraId="736782E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6.1.2 主要材料供应商应提供完整的产品合格证、性能检测报告及质量保证书。新型材料应提供相关的鉴定证书和应用技术规程。</w:t>
      </w:r>
    </w:p>
    <w:p w14:paraId="2B10B93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6.1.3 材料进场时，施工单位应会同监理单位进行联合验收，并按规定进行抽样复验，确认合格后方可使用。</w:t>
      </w:r>
    </w:p>
    <w:p w14:paraId="00FBFC8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6.1.4 材料的运输、储存和管理应保证其性能不受损坏和恶化。不同材料应分类、分批存放，设置明显标识牌，并采取相应的防雨、防潮、防晒、防污染及防破损措施。</w:t>
      </w:r>
    </w:p>
    <w:p w14:paraId="7C2A5044">
      <w:pPr>
        <w:keepNext/>
        <w:keepLines/>
        <w:tabs>
          <w:tab w:val="left" w:pos="420"/>
          <w:tab w:val="left" w:pos="540"/>
        </w:tabs>
        <w:adjustRightInd/>
        <w:spacing w:before="156" w:beforeLines="50" w:after="156" w:afterLines="50" w:line="240" w:lineRule="auto"/>
        <w:outlineLvl w:val="1"/>
        <w:rPr>
          <w:rFonts w:hint="default" w:ascii="Times New Roman" w:hAnsi="Times New Roman" w:eastAsia="黑体" w:cs="黑体"/>
          <w:b w:val="0"/>
          <w:bCs w:val="0"/>
          <w:kern w:val="21"/>
          <w:lang w:val="en-US"/>
        </w:rPr>
      </w:pPr>
      <w:bookmarkStart w:id="59" w:name="_Toc13017"/>
      <w:r>
        <w:rPr>
          <w:rFonts w:hint="eastAsia" w:ascii="Times New Roman" w:hAnsi="Times New Roman" w:eastAsia="黑体" w:cs="黑体"/>
          <w:b/>
          <w:bCs/>
          <w:kern w:val="21"/>
        </w:rPr>
        <w:t xml:space="preserve">6.2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lang w:val="en-US" w:eastAsia="zh-CN"/>
        </w:rPr>
        <w:t>植物材料</w:t>
      </w:r>
      <w:bookmarkEnd w:id="59"/>
    </w:p>
    <w:p w14:paraId="1F6CF27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6.2.1 植物种类的选择</w:t>
      </w:r>
      <w:r>
        <w:rPr>
          <w:rFonts w:hint="eastAsia" w:ascii="Times New Roman" w:hAnsi="Times New Roman"/>
          <w:szCs w:val="24"/>
          <w:lang w:eastAsia="zh-CN"/>
        </w:rPr>
        <w:t>应</w:t>
      </w:r>
      <w:r>
        <w:rPr>
          <w:rFonts w:hint="eastAsia" w:ascii="Times New Roman" w:hAnsi="Times New Roman"/>
          <w:szCs w:val="24"/>
        </w:rPr>
        <w:t>遵循“适地适树、乡土为主”的原则，应具备根系发达、固土能力强、抗逆性（抗旱、抗涝、抗病虫害）好、易于管护等特点，且不应具有入侵性。</w:t>
      </w:r>
    </w:p>
    <w:p w14:paraId="1E0FA54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6.2.2 苗木质量应符合CJJ 82的规定。乔木和灌木应树干通直、树形完整、冠形丰满、生长健壮、无检疫性病虫害和机械损伤。土球大小、根系状况应符合规范要求。</w:t>
      </w:r>
    </w:p>
    <w:p w14:paraId="07736B1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6.2.3 草本植物种子应标明品种、纯度、净度、发芽率及生产日期，其质量指标应符合设计要求和国家种子质量标准。禁止使用不合格或带有入侵性杂草的种子。</w:t>
      </w:r>
    </w:p>
    <w:p w14:paraId="4F45147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6.2.4 水生植物应选择对水体有净化作用且适应设计水深的品种，植株应健壮，根系完整。</w:t>
      </w:r>
    </w:p>
    <w:p w14:paraId="1D266BEC">
      <w:pPr>
        <w:adjustRightInd/>
        <w:spacing w:line="360" w:lineRule="auto"/>
        <w:ind w:firstLine="420" w:firstLineChars="200"/>
        <w:rPr>
          <w:rFonts w:hint="eastAsia" w:ascii="Times New Roman" w:hAnsi="Times New Roman" w:eastAsia="黑体" w:cs="黑体"/>
          <w:b w:val="0"/>
          <w:bCs w:val="0"/>
          <w:kern w:val="21"/>
        </w:rPr>
      </w:pPr>
      <w:r>
        <w:rPr>
          <w:rFonts w:hint="eastAsia" w:ascii="Times New Roman" w:hAnsi="Times New Roman"/>
          <w:szCs w:val="24"/>
        </w:rPr>
        <w:t>6.2.5 苗木起挖、包装、运输和临时假植应符合规范，防止根系失水和植株机械损伤。到场后不能及时栽植的苗木应进行妥善假植或保湿处理。</w:t>
      </w:r>
    </w:p>
    <w:p w14:paraId="1226A38C">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60" w:name="_Toc9968"/>
      <w:r>
        <w:rPr>
          <w:rFonts w:hint="eastAsia" w:ascii="Times New Roman" w:hAnsi="Times New Roman" w:eastAsia="黑体" w:cs="黑体"/>
          <w:b/>
          <w:bCs/>
          <w:kern w:val="21"/>
        </w:rPr>
        <w:t xml:space="preserve">6.3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土工合成材料</w:t>
      </w:r>
      <w:bookmarkEnd w:id="60"/>
    </w:p>
    <w:p w14:paraId="6385DA0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6.3.1 生态袋、植生袋的袋体材料应为无毒、无害的聚丙烯（PP）或聚酯纤维（PET）等环保材料制成的复合织物，其单位面积质量、断裂强力、等效孔径、垂直渗透系数等物理力学及水力学指标应符合设计及GB/T 50290</w:t>
      </w:r>
      <w:r>
        <w:rPr>
          <w:rFonts w:hint="eastAsia" w:ascii="Times New Roman" w:hAnsi="Times New Roman"/>
          <w:szCs w:val="24"/>
          <w:lang w:eastAsia="zh-CN"/>
        </w:rPr>
        <w:t>、GB/T 17639的规定</w:t>
      </w:r>
      <w:r>
        <w:rPr>
          <w:rFonts w:hint="eastAsia" w:ascii="Times New Roman" w:hAnsi="Times New Roman"/>
          <w:szCs w:val="24"/>
        </w:rPr>
        <w:t>。袋体应具有抗紫外线、抗老化性能。</w:t>
      </w:r>
    </w:p>
    <w:p w14:paraId="6282D54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6.3.2 土工格栅、土工网垫的原材料、规格、物理力学性能（如纵横向拉伸强度、断裂伸长率等）应符合设计及</w:t>
      </w:r>
      <w:r>
        <w:rPr>
          <w:rFonts w:hint="eastAsia" w:ascii="Times New Roman" w:hAnsi="Times New Roman"/>
          <w:szCs w:val="24"/>
          <w:lang w:eastAsia="zh-CN"/>
        </w:rPr>
        <w:t>GB/T 17689（玻璃纤维材质应符合GB/T 21825的规定）及</w:t>
      </w:r>
      <w:r>
        <w:rPr>
          <w:rFonts w:hint="eastAsia" w:ascii="Times New Roman" w:hAnsi="Times New Roman"/>
          <w:szCs w:val="24"/>
        </w:rPr>
        <w:t>GB/T 18744的要求。</w:t>
      </w:r>
    </w:p>
    <w:p w14:paraId="25F4A3B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6.3.3 植生毯（椰纤维毯、秸秆毯等）的基材应天然环保，网孔均匀，厚度及单位面积质量应符合设计</w:t>
      </w:r>
      <w:r>
        <w:rPr>
          <w:rFonts w:hint="eastAsia" w:ascii="Times New Roman" w:hAnsi="Times New Roman"/>
          <w:szCs w:val="24"/>
          <w:lang w:eastAsia="zh-CN"/>
        </w:rPr>
        <w:t>及GB/T 35468的规定</w:t>
      </w:r>
      <w:r>
        <w:rPr>
          <w:rFonts w:hint="eastAsia" w:ascii="Times New Roman" w:hAnsi="Times New Roman"/>
          <w:szCs w:val="24"/>
        </w:rPr>
        <w:t>，其降解速度应与植被建成周期相匹配。</w:t>
      </w:r>
    </w:p>
    <w:p w14:paraId="2F5D54D5">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eastAsia="zh-CN"/>
        </w:rPr>
      </w:pPr>
      <w:bookmarkStart w:id="61" w:name="_Toc11993"/>
      <w:r>
        <w:rPr>
          <w:rFonts w:hint="eastAsia" w:ascii="Times New Roman" w:hAnsi="Times New Roman" w:eastAsia="黑体" w:cs="黑体"/>
          <w:b/>
          <w:bCs/>
          <w:kern w:val="21"/>
        </w:rPr>
        <w:t xml:space="preserve">6.4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石材与砌块材料</w:t>
      </w:r>
      <w:bookmarkEnd w:id="61"/>
    </w:p>
    <w:p w14:paraId="12F6330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6.4.1 石料应质地坚硬、不易风化、无裂缝</w:t>
      </w:r>
      <w:r>
        <w:rPr>
          <w:rFonts w:hint="eastAsia" w:ascii="Times New Roman" w:hAnsi="Times New Roman"/>
          <w:szCs w:val="24"/>
          <w:lang w:eastAsia="zh-CN"/>
        </w:rPr>
        <w:t>，</w:t>
      </w:r>
      <w:r>
        <w:rPr>
          <w:rFonts w:hint="eastAsia" w:ascii="Times New Roman" w:hAnsi="Times New Roman"/>
          <w:szCs w:val="24"/>
        </w:rPr>
        <w:t>抗压强度等级应符合设计</w:t>
      </w:r>
      <w:r>
        <w:rPr>
          <w:rFonts w:hint="eastAsia" w:ascii="Times New Roman" w:hAnsi="Times New Roman"/>
          <w:szCs w:val="24"/>
          <w:lang w:eastAsia="zh-CN"/>
        </w:rPr>
        <w:t>及SL 260中对石料质量的规定</w:t>
      </w:r>
      <w:r>
        <w:rPr>
          <w:rFonts w:hint="eastAsia" w:ascii="Times New Roman" w:hAnsi="Times New Roman"/>
          <w:szCs w:val="24"/>
        </w:rPr>
        <w:t>。用于表面砌筑的石料，色泽应均匀，形状应大致规整。</w:t>
      </w:r>
    </w:p>
    <w:p w14:paraId="723E456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6.4.2 用于石笼、格宾网箱的块石、卵石尺寸应大于网目尺寸，并满足设计级配要求，其抗压强度、耐久性应</w:t>
      </w:r>
      <w:r>
        <w:rPr>
          <w:rFonts w:hint="eastAsia" w:ascii="Times New Roman" w:hAnsi="Times New Roman"/>
          <w:szCs w:val="24"/>
          <w:lang w:eastAsia="zh-CN"/>
        </w:rPr>
        <w:t>符合YB/T 4190的</w:t>
      </w:r>
      <w:r>
        <w:rPr>
          <w:rFonts w:hint="eastAsia" w:ascii="Times New Roman" w:hAnsi="Times New Roman"/>
          <w:szCs w:val="24"/>
        </w:rPr>
        <w:t>规定。</w:t>
      </w:r>
    </w:p>
    <w:p w14:paraId="2C74BCE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6.4.3 预制生态砌块（如生态框、鱼巢砖、空心砖等）的混凝土强度等级、尺寸偏差、外观质量应符合设计及GB/T 24493</w:t>
      </w:r>
      <w:r>
        <w:rPr>
          <w:rFonts w:hint="eastAsia" w:ascii="Times New Roman" w:hAnsi="Times New Roman"/>
          <w:szCs w:val="24"/>
          <w:lang w:eastAsia="zh-CN"/>
        </w:rPr>
        <w:t>的规定</w:t>
      </w:r>
      <w:r>
        <w:rPr>
          <w:rFonts w:hint="eastAsia" w:ascii="Times New Roman" w:hAnsi="Times New Roman"/>
          <w:szCs w:val="24"/>
        </w:rPr>
        <w:t>。其孔隙率、空腔尺寸应满足植物生长和鱼类栖息的要求。</w:t>
      </w:r>
    </w:p>
    <w:p w14:paraId="32398ED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6.4.4 现场浇筑的植生混凝土应使用特殊配合比，其孔隙率、透水性、抗压强度及pH值（宜为中性或弱碱性）应</w:t>
      </w:r>
      <w:r>
        <w:rPr>
          <w:rFonts w:hint="eastAsia" w:ascii="Times New Roman" w:hAnsi="Times New Roman"/>
          <w:szCs w:val="24"/>
          <w:lang w:eastAsia="zh-CN"/>
        </w:rPr>
        <w:t>符合JC/T 2557的规定，</w:t>
      </w:r>
      <w:r>
        <w:rPr>
          <w:rFonts w:hint="eastAsia" w:ascii="Times New Roman" w:hAnsi="Times New Roman"/>
          <w:szCs w:val="24"/>
        </w:rPr>
        <w:t>同时满足结构稳定性和植物生长需求。配合比应通过试验确定。</w:t>
      </w:r>
    </w:p>
    <w:p w14:paraId="451CD7C6">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eastAsia="zh-CN"/>
        </w:rPr>
      </w:pPr>
      <w:bookmarkStart w:id="62" w:name="_Toc2179"/>
      <w:r>
        <w:rPr>
          <w:rFonts w:hint="eastAsia" w:ascii="Times New Roman" w:hAnsi="Times New Roman" w:eastAsia="黑体" w:cs="黑体"/>
          <w:b/>
          <w:bCs/>
          <w:kern w:val="21"/>
        </w:rPr>
        <w:t xml:space="preserve">6.5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填充与种植材料</w:t>
      </w:r>
      <w:bookmarkEnd w:id="62"/>
    </w:p>
    <w:p w14:paraId="25C6D11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6.5.1 种植土应使用适合植物生长的壤土或改良土，其理化性状（如pH值、有机质含量、土壤容重、通气孔隙度等）应符合CJ/T 340的规定。严禁使用建筑垃圾、重粘土、纯沙土等不合格土壤。</w:t>
      </w:r>
    </w:p>
    <w:p w14:paraId="5B7FF40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6.5.2 客土、肥料（基肥、追肥）、土壤改良剂（保水剂、粘合剂等）应无污染、无臭味，其种类和使用量应符合设计</w:t>
      </w:r>
      <w:r>
        <w:rPr>
          <w:rFonts w:hint="eastAsia" w:ascii="Times New Roman" w:hAnsi="Times New Roman"/>
          <w:szCs w:val="24"/>
          <w:lang w:val="en-US" w:eastAsia="zh-CN"/>
        </w:rPr>
        <w:t>CJJ 82的规定，并应符合</w:t>
      </w:r>
      <w:r>
        <w:rPr>
          <w:rFonts w:hint="eastAsia" w:ascii="Times New Roman" w:hAnsi="Times New Roman"/>
          <w:szCs w:val="24"/>
        </w:rPr>
        <w:t>植物生长需求。</w:t>
      </w:r>
    </w:p>
    <w:p w14:paraId="6DCFAE1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6.5.3 用于石笼、砌块空隙及反滤层的填充石料、砂砾料，其粒径级配、含泥量等应符合设计要求。</w:t>
      </w:r>
    </w:p>
    <w:p w14:paraId="343C6D3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lang w:eastAsia="zh-CN"/>
        </w:rPr>
      </w:pPr>
      <w:bookmarkStart w:id="63" w:name="_Toc3465"/>
      <w:r>
        <w:rPr>
          <w:rFonts w:hint="eastAsia" w:ascii="Times New Roman" w:hAnsi="Times New Roman" w:eastAsia="黑体" w:cs="黑体"/>
          <w:b/>
          <w:bCs/>
          <w:kern w:val="21"/>
        </w:rPr>
        <w:t>6.</w:t>
      </w:r>
      <w:r>
        <w:rPr>
          <w:rFonts w:hint="eastAsia" w:ascii="Times New Roman" w:hAnsi="Times New Roman" w:eastAsia="黑体" w:cs="黑体"/>
          <w:b/>
          <w:bCs/>
          <w:kern w:val="21"/>
          <w:lang w:val="en-US" w:eastAsia="zh-CN"/>
        </w:rPr>
        <w:t>6</w:t>
      </w:r>
      <w:r>
        <w:rPr>
          <w:rFonts w:hint="eastAsia" w:ascii="Times New Roman" w:hAnsi="Times New Roman" w:eastAsia="黑体" w:cs="黑体"/>
          <w:b/>
          <w:bCs/>
          <w:kern w:val="21"/>
        </w:rPr>
        <w:t xml:space="preserve">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lang w:eastAsia="zh-CN"/>
        </w:rPr>
        <w:t>其他</w:t>
      </w:r>
      <w:r>
        <w:rPr>
          <w:rFonts w:hint="eastAsia" w:ascii="Times New Roman" w:hAnsi="Times New Roman" w:eastAsia="黑体" w:cs="黑体"/>
          <w:b w:val="0"/>
          <w:bCs w:val="0"/>
          <w:kern w:val="21"/>
        </w:rPr>
        <w:t>材料</w:t>
      </w:r>
      <w:bookmarkEnd w:id="63"/>
    </w:p>
    <w:p w14:paraId="31BB1C9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6.6.1 格宾、雷诺护垫所用的钢丝网片技术性能应符合YB/T 4190的规定</w:t>
      </w:r>
      <w:r>
        <w:rPr>
          <w:rFonts w:hint="eastAsia" w:ascii="Times New Roman" w:hAnsi="Times New Roman"/>
          <w:szCs w:val="24"/>
          <w:lang w:eastAsia="zh-CN"/>
        </w:rPr>
        <w:t>，</w:t>
      </w:r>
      <w:r>
        <w:rPr>
          <w:rFonts w:hint="eastAsia" w:ascii="Times New Roman" w:hAnsi="Times New Roman"/>
          <w:szCs w:val="24"/>
        </w:rPr>
        <w:t>其防腐耐久性应满足设计使用年限要求。钢丝网片应采用低碳钢丝，并覆以厚镀层（如镀锌、镀高尔凡/5%铝-锌合金稀土元素）或PVC/PE涂层进行防腐处理。钢丝的直径、抗拉强度、延伸率以及涂层的附着力、抗腐蚀指标（如镀层量、耐盐水性）</w:t>
      </w:r>
      <w:r>
        <w:rPr>
          <w:rFonts w:hint="eastAsia" w:ascii="Times New Roman" w:hAnsi="Times New Roman"/>
          <w:szCs w:val="24"/>
          <w:lang w:eastAsia="zh-CN"/>
        </w:rPr>
        <w:t>应</w:t>
      </w:r>
      <w:r>
        <w:rPr>
          <w:rFonts w:hint="eastAsia" w:ascii="Times New Roman" w:hAnsi="Times New Roman"/>
          <w:szCs w:val="24"/>
        </w:rPr>
        <w:t>符合YB/T 5294等相关标准及设计规定。</w:t>
      </w:r>
    </w:p>
    <w:p w14:paraId="430BF02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6.6.2 连接件、扎丝等配件应与主体网材材质相同或兼容，并具有同等的防腐性能。</w:t>
      </w:r>
    </w:p>
    <w:p w14:paraId="78CE949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6.6.3 木桩、竹材等天然材料应经干燥、防腐、防虫处理，其规格、强度及耐久性应满足设计要求。</w:t>
      </w:r>
    </w:p>
    <w:p w14:paraId="4A32FACC">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64" w:name="_Toc21976"/>
      <w:r>
        <w:rPr>
          <w:rFonts w:hint="eastAsia" w:ascii="Times New Roman" w:hAnsi="Times New Roman" w:eastAsia="黑体"/>
          <w:b/>
          <w:bCs w:val="0"/>
          <w:kern w:val="44"/>
          <w:lang w:val="en-US" w:eastAsia="zh-CN"/>
        </w:rPr>
        <w:t>施工工艺</w:t>
      </w:r>
      <w:bookmarkEnd w:id="64"/>
    </w:p>
    <w:p w14:paraId="52276FA2">
      <w:pPr>
        <w:keepNext/>
        <w:keepLines/>
        <w:tabs>
          <w:tab w:val="left" w:pos="420"/>
          <w:tab w:val="left" w:pos="540"/>
        </w:tabs>
        <w:adjustRightInd/>
        <w:spacing w:before="156" w:beforeLines="50" w:after="156" w:afterLines="50" w:line="240" w:lineRule="auto"/>
        <w:outlineLvl w:val="1"/>
        <w:rPr>
          <w:rFonts w:hint="default" w:ascii="Times New Roman" w:hAnsi="Times New Roman" w:eastAsia="黑体" w:cs="黑体"/>
          <w:b/>
          <w:bCs/>
          <w:kern w:val="21"/>
        </w:rPr>
      </w:pPr>
      <w:bookmarkStart w:id="65" w:name="_Toc29787"/>
      <w:bookmarkStart w:id="66" w:name="_Toc3700"/>
      <w:r>
        <w:rPr>
          <w:rFonts w:hint="default" w:ascii="Times New Roman" w:hAnsi="Times New Roman" w:eastAsia="黑体" w:cs="黑体"/>
          <w:b/>
          <w:bCs/>
          <w:kern w:val="21"/>
        </w:rPr>
        <w:t>7.1</w:t>
      </w:r>
      <w:r>
        <w:rPr>
          <w:rFonts w:hint="default" w:ascii="Times New Roman" w:hAnsi="Times New Roman" w:eastAsia="黑体" w:cs="黑体"/>
          <w:b/>
          <w:bCs/>
          <w:kern w:val="21"/>
          <w:lang w:val="en-US" w:eastAsia="zh-CN"/>
        </w:rPr>
        <w:t xml:space="preserve">  </w:t>
      </w:r>
      <w:r>
        <w:rPr>
          <w:rFonts w:hint="default" w:ascii="Times New Roman" w:hAnsi="Times New Roman" w:eastAsia="黑体" w:cs="黑体"/>
          <w:b w:val="0"/>
          <w:bCs w:val="0"/>
          <w:kern w:val="21"/>
        </w:rPr>
        <w:t>一般规定</w:t>
      </w:r>
      <w:bookmarkEnd w:id="65"/>
      <w:bookmarkEnd w:id="66"/>
    </w:p>
    <w:p w14:paraId="47D6592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7.1.1 施工应严格按照设计图纸、批准的施工方案及本规程进行。</w:t>
      </w:r>
    </w:p>
    <w:p w14:paraId="577D13A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7.1.2 施工顺序应遵循“先下后上、先基础后坡面、先主体后植被”的原则，合理安排工序，减少交叉干扰。</w:t>
      </w:r>
    </w:p>
    <w:p w14:paraId="1359F2B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7.1.3 各分项工程施工前，应进行样板段（首件）施工，经检验合格后，方可进行大面积施工。</w:t>
      </w:r>
    </w:p>
    <w:p w14:paraId="7A8C200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7.1.4 施工过程中应采取措施保护已完成的工程及坡面，防止受损和污染。</w:t>
      </w:r>
    </w:p>
    <w:p w14:paraId="6505F05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7.1.5 施工中应进行全过程的质量自检、互检和交接检，并做好施工记录。</w:t>
      </w:r>
    </w:p>
    <w:p w14:paraId="7EDDD593">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67" w:name="_Toc10486"/>
      <w:r>
        <w:rPr>
          <w:rFonts w:hint="eastAsia" w:ascii="Times New Roman" w:hAnsi="Times New Roman" w:eastAsia="黑体" w:cs="黑体"/>
          <w:b/>
          <w:bCs/>
          <w:kern w:val="21"/>
        </w:rPr>
        <w:t xml:space="preserve">7.2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坡面整理</w:t>
      </w:r>
      <w:bookmarkEnd w:id="67"/>
    </w:p>
    <w:p w14:paraId="14C5BED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7.2.1 应按设计断面进行土方开挖、回填与压实，坡面应平整、密实，坡度符合设计要求。土方开挖与回填压实的施工工艺与质量控制应符合SL 260的有关规定。</w:t>
      </w:r>
    </w:p>
    <w:p w14:paraId="4F08D60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7.2.2 坡面应修整平整、密实，坡度允许偏差为±5%。坡面凹凸差应不大于50mm。</w:t>
      </w:r>
    </w:p>
    <w:p w14:paraId="6CAD18D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7.2.3 应彻底清除坡面上的浮石、树根、垃圾等杂物，并对洞穴、坑洼进行填补夯实。</w:t>
      </w:r>
    </w:p>
    <w:p w14:paraId="47D3776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7.2.4 对于不稳定或存在潜在滑塌风险的坡体，应按设计要求采取削坡、设置抗滑桩、锚杆等加固措施后方可进行下一道工序。</w:t>
      </w:r>
    </w:p>
    <w:p w14:paraId="5A54DFE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7.2.5 坡面整理后应及时验收，合格后尽快进行护坡施工，避免长时间裸露，遇雨天应采取临时覆盖等防护措施。</w:t>
      </w:r>
    </w:p>
    <w:p w14:paraId="7AB3E5B2">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68" w:name="_Toc24996"/>
      <w:r>
        <w:rPr>
          <w:rFonts w:hint="eastAsia" w:ascii="Times New Roman" w:hAnsi="Times New Roman" w:eastAsia="黑体" w:cs="黑体"/>
          <w:b/>
          <w:bCs/>
          <w:kern w:val="21"/>
        </w:rPr>
        <w:t xml:space="preserve">7.3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基础施工​</w:t>
      </w:r>
      <w:bookmarkEnd w:id="68"/>
    </w:p>
    <w:p w14:paraId="02B92A4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7.3.1 护坡结构（如脚槽、格宾网箱基础、生态砌块基础等）的基础应置于设计要求的稳定地层上。</w:t>
      </w:r>
    </w:p>
    <w:p w14:paraId="37350B3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7.3.2 基坑开挖尺寸、高程及承载力应满足设计要求。基坑验收合格后，方可进行砌筑或浇筑。</w:t>
      </w:r>
    </w:p>
    <w:p w14:paraId="3E85343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7.3.3 水下基础施工应根据水文条件选择枯水期或采用围堰、导流等措施，确保干地作业。</w:t>
      </w:r>
    </w:p>
    <w:p w14:paraId="12CD5CFD">
      <w:pPr>
        <w:keepNext/>
        <w:keepLines/>
        <w:tabs>
          <w:tab w:val="left" w:pos="420"/>
          <w:tab w:val="left" w:pos="540"/>
        </w:tabs>
        <w:adjustRightInd/>
        <w:spacing w:before="156" w:beforeLines="50" w:after="156" w:afterLines="50" w:line="240" w:lineRule="auto"/>
        <w:outlineLvl w:val="1"/>
        <w:rPr>
          <w:rFonts w:hint="eastAsia" w:ascii="Times New Roman" w:hAnsi="Times New Roman"/>
          <w:szCs w:val="24"/>
        </w:rPr>
      </w:pPr>
      <w:bookmarkStart w:id="69" w:name="_Toc24426"/>
      <w:r>
        <w:rPr>
          <w:rFonts w:hint="eastAsia" w:ascii="Times New Roman" w:hAnsi="Times New Roman" w:eastAsia="黑体" w:cs="黑体"/>
          <w:b/>
          <w:bCs/>
          <w:kern w:val="21"/>
        </w:rPr>
        <w:t xml:space="preserve">7.4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生态砌块/干砌石护坡施工</w:t>
      </w:r>
      <w:bookmarkEnd w:id="69"/>
    </w:p>
    <w:p w14:paraId="7677E64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7.4.1 砌筑前应进行选石，石块应质地坚硬，大致修整。</w:t>
      </w:r>
    </w:p>
    <w:p w14:paraId="744B9E9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7.4.2 砌筑应自下而上进行，块体应上下错缝、内外搭接、砌体稳固、表面平整。严禁采用灌浆法施工。</w:t>
      </w:r>
    </w:p>
    <w:p w14:paraId="607A732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7.4.3 干砌石护坡的砌石间应嵌挤紧密，孔隙应用小块石楔紧，空隙率应小于设计要求。</w:t>
      </w:r>
    </w:p>
    <w:p w14:paraId="58F10D5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7.4.4 预制生态砌块应按设计图案和坡度挂线拼装，确保砌块间咬合紧密、整体线型顺直。</w:t>
      </w:r>
    </w:p>
    <w:p w14:paraId="4DC8638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7.4.5 砌体后的回填区及砌块空腔应及时填充种植土，填充应密实，并预留沉降余量。</w:t>
      </w:r>
    </w:p>
    <w:p w14:paraId="1458D63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7.4.6 砌体施工完成后，应及时在填充土中采用喷播、栽植或扦插等方式进行植被恢复。</w:t>
      </w:r>
    </w:p>
    <w:p w14:paraId="7DCB4E74">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0" w:name="_Toc27992"/>
      <w:r>
        <w:rPr>
          <w:rFonts w:hint="eastAsia" w:ascii="Times New Roman" w:hAnsi="Times New Roman" w:eastAsia="黑体" w:cs="黑体"/>
          <w:b/>
          <w:bCs/>
          <w:kern w:val="21"/>
        </w:rPr>
        <w:t xml:space="preserve">7.5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石笼/格宾网箱护坡施工</w:t>
      </w:r>
      <w:bookmarkEnd w:id="70"/>
    </w:p>
    <w:p w14:paraId="29FAF79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7.5.1 网箱应在平坦场地上组装，确保各片连接牢固，几何尺寸准确。</w:t>
      </w:r>
    </w:p>
    <w:p w14:paraId="62B0A95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7.5.2 放置网箱前，基础面应平整。网箱放置位置应准确，相互间应按设计要求通过绑扎连接成整体，形成抗冲刷的连续结构。</w:t>
      </w:r>
    </w:p>
    <w:p w14:paraId="3D7D97F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7.5.3 填充石料应坚硬、耐久，粒径宜为网目尺寸的1.5~2倍。宜采用机械辅以人工的方式分层填装，每层填装厚度不宜超过300mm，并宜对内外部石料进行整理，确保表面平整、内部密实。</w:t>
      </w:r>
    </w:p>
    <w:p w14:paraId="246B3CA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7.5.4 石料填充后，应将盖板下折，与所有相邻的边框钢丝、隔板钢丝牢固绑扎在一起，绑扎间距不宜大于200mm。</w:t>
      </w:r>
    </w:p>
    <w:p w14:paraId="0C0D0BD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7.5.5 可在网箱表层空隙或顶部覆土，为后续植被自然生长或人工种植创造条件。</w:t>
      </w:r>
    </w:p>
    <w:p w14:paraId="7FDE91C7">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1" w:name="_Toc29117"/>
      <w:r>
        <w:rPr>
          <w:rFonts w:hint="eastAsia" w:ascii="Times New Roman" w:hAnsi="Times New Roman" w:eastAsia="黑体" w:cs="黑体"/>
          <w:b/>
          <w:bCs/>
          <w:kern w:val="21"/>
        </w:rPr>
        <w:t>7.</w:t>
      </w:r>
      <w:r>
        <w:rPr>
          <w:rFonts w:hint="eastAsia" w:ascii="Times New Roman" w:hAnsi="Times New Roman" w:eastAsia="黑体" w:cs="黑体"/>
          <w:b/>
          <w:bCs/>
          <w:kern w:val="21"/>
          <w:lang w:val="en-US" w:eastAsia="zh-CN"/>
        </w:rPr>
        <w:t>6</w:t>
      </w:r>
      <w:r>
        <w:rPr>
          <w:rFonts w:hint="eastAsia" w:ascii="Times New Roman" w:hAnsi="Times New Roman" w:eastAsia="黑体" w:cs="黑体"/>
          <w:b/>
          <w:bCs/>
          <w:kern w:val="21"/>
        </w:rPr>
        <w:t xml:space="preserve">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土工材料复合植被护坡施工​</w:t>
      </w:r>
      <w:bookmarkEnd w:id="71"/>
    </w:p>
    <w:p w14:paraId="4E5AC38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7.6.1 铺设土工网垫、植生毯前，坡面应平整无凸起。材料应自上而下铺设，并保持平整、绷紧，与坡面紧密贴实。</w:t>
      </w:r>
    </w:p>
    <w:p w14:paraId="4D5A5FE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7.6.2 应采用U型钉或木桩等按设计要求固定材料，固定点间距宜为1.0m~1.5m，在坡顶、坡脚及搭接处应加密。</w:t>
      </w:r>
    </w:p>
    <w:p w14:paraId="354FA6F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7.6.3 材料纵向搭接宽度不应小于100mm，横向搭接宽度不应小于50mm，搭接处应用固定钉固定。上游侧材料应压在下游侧材料之上。</w:t>
      </w:r>
    </w:p>
    <w:p w14:paraId="3568696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7.6.4 采用生态袋护坡时，袋体填充率宜为75%~85%。铺设时应层层错缝垒砌，袋间应用连接扣等专用配件相互锁定。</w:t>
      </w:r>
    </w:p>
    <w:p w14:paraId="43AFABE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7.6.5 填充、铺设完成后，应及时采用液压喷播、插播或压播等方式进行植被种植施工。</w:t>
      </w:r>
    </w:p>
    <w:p w14:paraId="616228BE">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2" w:name="_Toc20018"/>
      <w:r>
        <w:rPr>
          <w:rFonts w:hint="eastAsia" w:ascii="Times New Roman" w:hAnsi="Times New Roman" w:eastAsia="黑体" w:cs="黑体"/>
          <w:b/>
          <w:bCs/>
          <w:kern w:val="21"/>
        </w:rPr>
        <w:t>7.</w:t>
      </w:r>
      <w:r>
        <w:rPr>
          <w:rFonts w:hint="eastAsia" w:ascii="Times New Roman" w:hAnsi="Times New Roman" w:eastAsia="黑体" w:cs="黑体"/>
          <w:b/>
          <w:bCs/>
          <w:kern w:val="21"/>
          <w:lang w:val="en-US" w:eastAsia="zh-CN"/>
        </w:rPr>
        <w:t>7</w:t>
      </w:r>
      <w:r>
        <w:rPr>
          <w:rFonts w:hint="eastAsia" w:ascii="Times New Roman" w:hAnsi="Times New Roman" w:eastAsia="黑体" w:cs="黑体"/>
          <w:b/>
          <w:bCs/>
          <w:kern w:val="21"/>
        </w:rPr>
        <w:t xml:space="preserve">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生态混凝土护坡施工</w:t>
      </w:r>
      <w:bookmarkEnd w:id="72"/>
    </w:p>
    <w:p w14:paraId="530192F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7.7.1 预制生态砌块施工同第7.4.4款。</w:t>
      </w:r>
    </w:p>
    <w:p w14:paraId="772BB40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7.7.2 现场浇筑植生混凝土时，应通过试验确定其最优配合比，严格控制粗骨料粒径、胶凝材料用量、水胶比及掺合料（如降碱剂）的掺量。</w:t>
      </w:r>
    </w:p>
    <w:p w14:paraId="1D65235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7.7.3 模板安装应牢固，尺寸准确。浇筑时应防止离析，采用插入式振捣器振捣密实，但应避免过度振捣导致孔隙堵塞。</w:t>
      </w:r>
    </w:p>
    <w:p w14:paraId="0C1D294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7.7.4 浇筑完成后应及时覆盖保湿养护，养护时间不应少于14天。</w:t>
      </w:r>
    </w:p>
    <w:p w14:paraId="5BE22D4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7.7.5 待混凝土强度达到设计要求后，方可进行客土填充（采用高压喷附或人工填充）和植被种植。客土应富含有机质和养分，pH值适宜。</w:t>
      </w:r>
    </w:p>
    <w:p w14:paraId="60A9D18B">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3" w:name="_Toc24413"/>
      <w:r>
        <w:rPr>
          <w:rFonts w:hint="eastAsia" w:ascii="Times New Roman" w:hAnsi="Times New Roman" w:eastAsia="黑体" w:cs="黑体"/>
          <w:b/>
          <w:bCs/>
          <w:kern w:val="21"/>
        </w:rPr>
        <w:t>7.</w:t>
      </w:r>
      <w:r>
        <w:rPr>
          <w:rFonts w:hint="eastAsia" w:ascii="Times New Roman" w:hAnsi="Times New Roman" w:eastAsia="黑体" w:cs="黑体"/>
          <w:b/>
          <w:bCs/>
          <w:kern w:val="21"/>
          <w:lang w:val="en-US" w:eastAsia="zh-CN"/>
        </w:rPr>
        <w:t>8</w:t>
      </w:r>
      <w:r>
        <w:rPr>
          <w:rFonts w:hint="eastAsia" w:ascii="Times New Roman" w:hAnsi="Times New Roman" w:eastAsia="黑体" w:cs="黑体"/>
          <w:b/>
          <w:bCs/>
          <w:kern w:val="21"/>
        </w:rPr>
        <w:t xml:space="preserve">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植被恢复与种植</w:t>
      </w:r>
      <w:bookmarkEnd w:id="73"/>
    </w:p>
    <w:p w14:paraId="6ACF259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7.8.1 施工季节应选择在植物生长旺盛期或休眠期进行，避免在极端高温、干旱或严寒季节施工。</w:t>
      </w:r>
    </w:p>
    <w:p w14:paraId="75D7573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7.8.2 乔木、灌木种植应符合CJJ 82的规定。种植穴大小应大于土球直径，回填土应分层踏实，并筑好灌水围堰。</w:t>
      </w:r>
    </w:p>
    <w:p w14:paraId="01EF28C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7.8.3 草本植被建植可采用人工播种、液压喷播、植生毯/植生袋、铺草皮等方法。</w:t>
      </w:r>
    </w:p>
    <w:p w14:paraId="48FF876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7.8.4 液压喷播时，基材（种植土、纤维、粘结剂、肥料、种子等）配比应准确，混合均匀。喷播厚度应均匀并符合设计要求，坡面不易附着时可加挂网固定。</w:t>
      </w:r>
    </w:p>
    <w:p w14:paraId="4BDCC55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7.8.5 水生植物种植应根据其生态习性，严格控制种植水深和密度。</w:t>
      </w:r>
    </w:p>
    <w:p w14:paraId="1CD1CA8E">
      <w:pPr>
        <w:adjustRightInd/>
        <w:spacing w:line="360" w:lineRule="auto"/>
        <w:ind w:firstLine="420" w:firstLineChars="200"/>
        <w:rPr>
          <w:rFonts w:ascii="Times New Roman" w:hAnsi="Times New Roman"/>
          <w:szCs w:val="24"/>
        </w:rPr>
      </w:pPr>
      <w:r>
        <w:rPr>
          <w:rFonts w:hint="eastAsia" w:ascii="Times New Roman" w:hAnsi="Times New Roman"/>
          <w:szCs w:val="24"/>
        </w:rPr>
        <w:t>7.8.6 植被施工后应立即浇透定根水，并在后续的养护期内根据天气和土壤墒情及时补水。</w:t>
      </w:r>
    </w:p>
    <w:p w14:paraId="2305A157">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74" w:name="_Toc19950"/>
      <w:r>
        <w:rPr>
          <w:rFonts w:hint="eastAsia" w:ascii="Times New Roman" w:hAnsi="Times New Roman" w:eastAsia="黑体"/>
          <w:b/>
          <w:bCs w:val="0"/>
          <w:kern w:val="44"/>
          <w:lang w:val="en-US" w:eastAsia="zh-CN"/>
        </w:rPr>
        <w:t>质量控制</w:t>
      </w:r>
      <w:bookmarkEnd w:id="74"/>
    </w:p>
    <w:p w14:paraId="4CA59D6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5" w:name="_Toc6896"/>
      <w:bookmarkStart w:id="76" w:name="_Toc12258"/>
      <w:r>
        <w:rPr>
          <w:rFonts w:hint="eastAsia" w:ascii="Times New Roman" w:hAnsi="Times New Roman" w:eastAsia="黑体" w:cs="黑体"/>
          <w:b/>
          <w:bCs/>
          <w:kern w:val="21"/>
        </w:rPr>
        <w:t>8.1</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一般规定</w:t>
      </w:r>
      <w:bookmarkEnd w:id="75"/>
      <w:bookmarkEnd w:id="76"/>
    </w:p>
    <w:p w14:paraId="717E465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8.1.1 施工单位应建立健全质量管理体系和质量检验制度，明确各工序、各环节的质量责任人，落实质量“三检制”（自检、互检、专检）。</w:t>
      </w:r>
    </w:p>
    <w:p w14:paraId="79720F9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8.1.2 监理单位应按规定对施工质量采取旁站、巡视和平行检验等形式进行全过程监督和控制。</w:t>
      </w:r>
    </w:p>
    <w:p w14:paraId="69491E3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8.1.3 质量控制应贯穿于施工准备、材料采购、施工过程、工序验收和竣工验收的全过程。</w:t>
      </w:r>
    </w:p>
    <w:p w14:paraId="29A18F28">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rPr>
        <w:t>8.1.4 对影响生态护坡结构安全、使用功能和生态效果的关键工序和部位，应设置质量控制点，进行重点检查和控制。</w:t>
      </w:r>
    </w:p>
    <w:p w14:paraId="26F4974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7" w:name="_Toc11510"/>
      <w:r>
        <w:rPr>
          <w:rFonts w:hint="eastAsia" w:ascii="Times New Roman" w:hAnsi="Times New Roman" w:eastAsia="黑体" w:cs="黑体"/>
          <w:b/>
          <w:bCs/>
          <w:kern w:val="21"/>
        </w:rPr>
        <w:t xml:space="preserve">8.2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材料质量控制</w:t>
      </w:r>
      <w:bookmarkEnd w:id="77"/>
    </w:p>
    <w:p w14:paraId="1E6133A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8.2.1 所有进场材料</w:t>
      </w:r>
      <w:r>
        <w:rPr>
          <w:rFonts w:hint="eastAsia" w:ascii="Times New Roman" w:hAnsi="Times New Roman"/>
          <w:szCs w:val="24"/>
          <w:lang w:eastAsia="zh-CN"/>
        </w:rPr>
        <w:t>应</w:t>
      </w:r>
      <w:r>
        <w:rPr>
          <w:rFonts w:hint="eastAsia" w:ascii="Times New Roman" w:hAnsi="Times New Roman"/>
          <w:szCs w:val="24"/>
        </w:rPr>
        <w:t>进行进场验收，核查其生产厂家、产品合格证、质量检验报告等质量证明文件，确保其符合设计和相关标准要求。</w:t>
      </w:r>
    </w:p>
    <w:p w14:paraId="12499D3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8.2.2 对涉及结构安全、生态环保和耐久性的主要材料，如石材、水泥、钢筋、土工合成材料、生态砌块、种植土等，</w:t>
      </w:r>
      <w:r>
        <w:rPr>
          <w:rFonts w:hint="eastAsia" w:ascii="Times New Roman" w:hAnsi="Times New Roman"/>
          <w:szCs w:val="24"/>
          <w:lang w:eastAsia="zh-CN"/>
        </w:rPr>
        <w:t>应</w:t>
      </w:r>
      <w:r>
        <w:rPr>
          <w:rFonts w:hint="eastAsia" w:ascii="Times New Roman" w:hAnsi="Times New Roman"/>
          <w:szCs w:val="24"/>
        </w:rPr>
        <w:t>在监理工程师的见证下按SL/T 734规定的抽样频率和方法进行抽样复验，合格后方可使用。</w:t>
      </w:r>
    </w:p>
    <w:p w14:paraId="4E19E81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8.2.3 植物材料的品种、规格、冠形、根系及健康状况</w:t>
      </w:r>
      <w:r>
        <w:rPr>
          <w:rFonts w:hint="eastAsia" w:ascii="Times New Roman" w:hAnsi="Times New Roman"/>
          <w:szCs w:val="24"/>
          <w:lang w:eastAsia="zh-CN"/>
        </w:rPr>
        <w:t>应</w:t>
      </w:r>
      <w:r>
        <w:rPr>
          <w:rFonts w:hint="eastAsia" w:ascii="Times New Roman" w:hAnsi="Times New Roman"/>
          <w:szCs w:val="24"/>
        </w:rPr>
        <w:t>逐批检验，不符合设计要求及有病虫害的苗木不得使用。</w:t>
      </w:r>
    </w:p>
    <w:p w14:paraId="6B140F8B">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8" w:name="_Toc564"/>
      <w:r>
        <w:rPr>
          <w:rFonts w:hint="eastAsia" w:ascii="Times New Roman" w:hAnsi="Times New Roman" w:eastAsia="黑体" w:cs="黑体"/>
          <w:b/>
          <w:bCs/>
          <w:kern w:val="21"/>
        </w:rPr>
        <w:t xml:space="preserve">8.3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施工过程质量控制</w:t>
      </w:r>
      <w:bookmarkEnd w:id="78"/>
    </w:p>
    <w:p w14:paraId="2B8569A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8.3.1 坡面整理</w:t>
      </w:r>
    </w:p>
    <w:p w14:paraId="4E2746D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应检查坡面坡度、平整度、压实度及地基承载力，确保其符合设计要求。隐蔽前应进行验收。</w:t>
      </w:r>
    </w:p>
    <w:p w14:paraId="248FAA1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8.3.2 基础工程</w:t>
      </w:r>
    </w:p>
    <w:p w14:paraId="49F5DA6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应检查基坑的几何尺寸、高程、基底土质及承载力。砌筑或浇筑质量应符合设计及相关规范要求。</w:t>
      </w:r>
    </w:p>
    <w:p w14:paraId="2705BAE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8.3.3 生态砌块/干砌石施工</w:t>
      </w:r>
    </w:p>
    <w:p w14:paraId="6348B3B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应检查砌体的缝宽、错缝、咬合情况、表面平整度及整体稳定性。填充种植土的密实度及质量应满足要求。</w:t>
      </w:r>
    </w:p>
    <w:p w14:paraId="692B6E6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8.3.4 石笼/格宾网箱施工</w:t>
      </w:r>
    </w:p>
    <w:p w14:paraId="4230414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应检查网箱的组装质量、放置位置、相互连接牢固性、石料规格及填充密实度。盖板的绑扎连接</w:t>
      </w:r>
      <w:r>
        <w:rPr>
          <w:rFonts w:hint="eastAsia" w:ascii="Times New Roman" w:hAnsi="Times New Roman"/>
          <w:szCs w:val="24"/>
          <w:lang w:eastAsia="zh-CN"/>
        </w:rPr>
        <w:t>应</w:t>
      </w:r>
      <w:r>
        <w:rPr>
          <w:rFonts w:hint="eastAsia" w:ascii="Times New Roman" w:hAnsi="Times New Roman"/>
          <w:szCs w:val="24"/>
        </w:rPr>
        <w:t>全数检查。</w:t>
      </w:r>
    </w:p>
    <w:p w14:paraId="0395B00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8.3.5​土工材料施工</w:t>
      </w:r>
    </w:p>
    <w:p w14:paraId="06E77CC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应检查材料的铺设方向、搭接宽度、固定方式及与坡面的贴实程度。</w:t>
      </w:r>
    </w:p>
    <w:p w14:paraId="30FBB46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8.3.6 生态混凝土施工</w:t>
      </w:r>
    </w:p>
    <w:p w14:paraId="6AF02F5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预制块安装应检查拼装精度和整体线型。现浇生态混凝土应严格控制其配合比、坍落度、浇筑厚度、孔隙率和养护条件。</w:t>
      </w:r>
    </w:p>
    <w:p w14:paraId="10AD9A1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8.3.7 植被恢复施工</w:t>
      </w:r>
    </w:p>
    <w:p w14:paraId="4AA4380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应检查种植穴槽尺寸、苗木栽植深度与间距、喷播厚度与均匀度、浇灌的及时性和充分性。</w:t>
      </w:r>
    </w:p>
    <w:p w14:paraId="6A5E727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79" w:name="_Toc15676"/>
      <w:r>
        <w:rPr>
          <w:rFonts w:hint="eastAsia" w:ascii="Times New Roman" w:hAnsi="Times New Roman" w:eastAsia="黑体" w:cs="黑体"/>
          <w:b/>
          <w:bCs/>
          <w:kern w:val="21"/>
        </w:rPr>
        <w:t xml:space="preserve">8.4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实体质量检验与测量</w:t>
      </w:r>
      <w:bookmarkEnd w:id="79"/>
    </w:p>
    <w:p w14:paraId="7BD816B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8.4.1 生态护坡工程实体质量检验的允许偏差应符合表1的规定。</w:t>
      </w:r>
    </w:p>
    <w:p w14:paraId="1B452AFE">
      <w:pPr>
        <w:adjustRightInd/>
        <w:spacing w:line="360" w:lineRule="auto"/>
        <w:jc w:val="center"/>
        <w:rPr>
          <w:rFonts w:hint="eastAsia" w:ascii="Times New Roman" w:hAnsi="Times New Roman" w:eastAsia="宋体"/>
          <w:szCs w:val="24"/>
          <w:lang w:eastAsia="zh-CN"/>
        </w:rPr>
      </w:pPr>
      <w:r>
        <w:rPr>
          <w:rFonts w:hint="eastAsia" w:ascii="Times New Roman" w:hAnsi="Times New Roman" w:eastAsia="宋体"/>
          <w:szCs w:val="24"/>
          <w:lang w:eastAsia="zh-CN"/>
        </w:rPr>
        <w:t>表1 生态护坡工程允许偏差</w:t>
      </w:r>
    </w:p>
    <w:tbl>
      <w:tblPr>
        <w:tblStyle w:val="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6"/>
        <w:gridCol w:w="2946"/>
        <w:gridCol w:w="2171"/>
        <w:gridCol w:w="2887"/>
      </w:tblGrid>
      <w:tr w14:paraId="79C8D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507B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BCBF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检查项目</w:t>
            </w:r>
          </w:p>
        </w:tc>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898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规定值或允许偏差</w:t>
            </w:r>
          </w:p>
        </w:tc>
        <w:tc>
          <w:tcPr>
            <w:tcW w:w="2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6420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检验方法</w:t>
            </w:r>
          </w:p>
        </w:tc>
      </w:tr>
      <w:tr w14:paraId="7ABEE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A215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5D8D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坡面坡度</w:t>
            </w:r>
          </w:p>
        </w:tc>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CC81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2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BC28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全站仪、坡度尺</w:t>
            </w:r>
          </w:p>
          <w:p w14:paraId="5168B60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按</w:t>
            </w:r>
            <w:r>
              <w:rPr>
                <w:rFonts w:hint="default" w:ascii="Times New Roman" w:hAnsi="Times New Roman" w:eastAsia="宋体" w:cs="Times New Roman"/>
                <w:i w:val="0"/>
                <w:iCs w:val="0"/>
                <w:color w:val="000000"/>
                <w:kern w:val="0"/>
                <w:sz w:val="21"/>
                <w:szCs w:val="21"/>
                <w:u w:val="none"/>
                <w:lang w:val="en-US" w:eastAsia="zh-CN" w:bidi="ar"/>
              </w:rPr>
              <w:t>SL/T 52</w:t>
            </w:r>
            <w:r>
              <w:rPr>
                <w:rFonts w:hint="eastAsia" w:ascii="Times New Roman" w:hAnsi="Times New Roman" w:cs="Times New Roman"/>
                <w:i w:val="0"/>
                <w:iCs w:val="0"/>
                <w:color w:val="000000"/>
                <w:kern w:val="0"/>
                <w:sz w:val="21"/>
                <w:szCs w:val="21"/>
                <w:u w:val="none"/>
                <w:lang w:val="en-US" w:eastAsia="zh-CN" w:bidi="ar"/>
              </w:rPr>
              <w:t>的规定执行</w:t>
            </w:r>
          </w:p>
        </w:tc>
      </w:tr>
      <w:tr w14:paraId="0B358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F7CC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40138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坡顶高程（mm）</w:t>
            </w:r>
          </w:p>
        </w:tc>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84D7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±50</w:t>
            </w:r>
          </w:p>
        </w:tc>
        <w:tc>
          <w:tcPr>
            <w:tcW w:w="2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ECE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水准仪测量</w:t>
            </w:r>
          </w:p>
          <w:p w14:paraId="42016E6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按</w:t>
            </w:r>
            <w:r>
              <w:rPr>
                <w:rFonts w:hint="default" w:ascii="Times New Roman" w:hAnsi="Times New Roman" w:eastAsia="宋体" w:cs="Times New Roman"/>
                <w:i w:val="0"/>
                <w:iCs w:val="0"/>
                <w:color w:val="000000"/>
                <w:kern w:val="0"/>
                <w:sz w:val="21"/>
                <w:szCs w:val="21"/>
                <w:u w:val="none"/>
                <w:lang w:val="en-US" w:eastAsia="zh-CN" w:bidi="ar"/>
              </w:rPr>
              <w:t>SL/T 52</w:t>
            </w:r>
            <w:r>
              <w:rPr>
                <w:rFonts w:hint="eastAsia" w:ascii="Times New Roman" w:hAnsi="Times New Roman" w:cs="Times New Roman"/>
                <w:i w:val="0"/>
                <w:iCs w:val="0"/>
                <w:color w:val="000000"/>
                <w:kern w:val="0"/>
                <w:sz w:val="21"/>
                <w:szCs w:val="21"/>
                <w:u w:val="none"/>
                <w:lang w:val="en-US" w:eastAsia="zh-CN" w:bidi="ar"/>
              </w:rPr>
              <w:t>的规定执行</w:t>
            </w:r>
          </w:p>
        </w:tc>
      </w:tr>
      <w:tr w14:paraId="336F1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9463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3BDE6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坡脚高程（mm）</w:t>
            </w:r>
          </w:p>
        </w:tc>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5E31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±50</w:t>
            </w:r>
          </w:p>
        </w:tc>
        <w:tc>
          <w:tcPr>
            <w:tcW w:w="2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3B21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水准仪测量</w:t>
            </w:r>
          </w:p>
          <w:p w14:paraId="5E3B18D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按</w:t>
            </w:r>
            <w:r>
              <w:rPr>
                <w:rFonts w:hint="default" w:ascii="Times New Roman" w:hAnsi="Times New Roman" w:eastAsia="宋体" w:cs="Times New Roman"/>
                <w:i w:val="0"/>
                <w:iCs w:val="0"/>
                <w:color w:val="000000"/>
                <w:kern w:val="0"/>
                <w:sz w:val="21"/>
                <w:szCs w:val="21"/>
                <w:u w:val="none"/>
                <w:lang w:val="en-US" w:eastAsia="zh-CN" w:bidi="ar"/>
              </w:rPr>
              <w:t>SL/T 52</w:t>
            </w:r>
            <w:r>
              <w:rPr>
                <w:rFonts w:hint="eastAsia" w:ascii="Times New Roman" w:hAnsi="Times New Roman" w:cs="Times New Roman"/>
                <w:i w:val="0"/>
                <w:iCs w:val="0"/>
                <w:color w:val="000000"/>
                <w:kern w:val="0"/>
                <w:sz w:val="21"/>
                <w:szCs w:val="21"/>
                <w:u w:val="none"/>
                <w:lang w:val="en-US" w:eastAsia="zh-CN" w:bidi="ar"/>
              </w:rPr>
              <w:t>的规定执行</w:t>
            </w:r>
          </w:p>
        </w:tc>
      </w:tr>
      <w:tr w14:paraId="0DCBF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20B16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E04C1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表面平整度（mm/2m）</w:t>
            </w:r>
          </w:p>
        </w:tc>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710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≤50</w:t>
            </w:r>
          </w:p>
        </w:tc>
        <w:tc>
          <w:tcPr>
            <w:tcW w:w="2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E0CC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2m靠尺和塞尺测量</w:t>
            </w:r>
          </w:p>
          <w:p w14:paraId="7EB4E9B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按</w:t>
            </w:r>
            <w:r>
              <w:rPr>
                <w:rFonts w:hint="default" w:ascii="Times New Roman" w:hAnsi="Times New Roman" w:eastAsia="宋体" w:cs="Times New Roman"/>
                <w:i w:val="0"/>
                <w:iCs w:val="0"/>
                <w:color w:val="000000"/>
                <w:kern w:val="0"/>
                <w:sz w:val="21"/>
                <w:szCs w:val="21"/>
                <w:u w:val="none"/>
                <w:lang w:val="en-US" w:eastAsia="zh-CN" w:bidi="ar"/>
              </w:rPr>
              <w:t>SL/T 52</w:t>
            </w:r>
            <w:r>
              <w:rPr>
                <w:rFonts w:hint="eastAsia" w:ascii="Times New Roman" w:hAnsi="Times New Roman" w:cs="Times New Roman"/>
                <w:i w:val="0"/>
                <w:iCs w:val="0"/>
                <w:color w:val="000000"/>
                <w:kern w:val="0"/>
                <w:sz w:val="21"/>
                <w:szCs w:val="21"/>
                <w:u w:val="none"/>
                <w:lang w:val="en-US" w:eastAsia="zh-CN" w:bidi="ar"/>
              </w:rPr>
              <w:t>的规定执行</w:t>
            </w:r>
          </w:p>
        </w:tc>
      </w:tr>
      <w:tr w14:paraId="79F7B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C4FD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D653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结构厚度（砌石、混凝土等）</w:t>
            </w:r>
          </w:p>
        </w:tc>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B833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±5%设计值</w:t>
            </w:r>
          </w:p>
        </w:tc>
        <w:tc>
          <w:tcPr>
            <w:tcW w:w="2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0D6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钢尺测量或探针</w:t>
            </w:r>
          </w:p>
          <w:p w14:paraId="7FA9AC2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按</w:t>
            </w:r>
            <w:r>
              <w:rPr>
                <w:rFonts w:hint="default" w:ascii="Times New Roman" w:hAnsi="Times New Roman" w:eastAsia="宋体" w:cs="Times New Roman"/>
                <w:i w:val="0"/>
                <w:iCs w:val="0"/>
                <w:color w:val="000000"/>
                <w:kern w:val="0"/>
                <w:sz w:val="21"/>
                <w:szCs w:val="21"/>
                <w:u w:val="none"/>
                <w:lang w:val="en-US" w:eastAsia="zh-CN" w:bidi="ar"/>
              </w:rPr>
              <w:t>SL/T 52</w:t>
            </w:r>
            <w:r>
              <w:rPr>
                <w:rFonts w:hint="eastAsia" w:ascii="Times New Roman" w:hAnsi="Times New Roman" w:cs="Times New Roman"/>
                <w:i w:val="0"/>
                <w:iCs w:val="0"/>
                <w:color w:val="000000"/>
                <w:kern w:val="0"/>
                <w:sz w:val="21"/>
                <w:szCs w:val="21"/>
                <w:u w:val="none"/>
                <w:lang w:val="en-US" w:eastAsia="zh-CN" w:bidi="ar"/>
              </w:rPr>
              <w:t>的规定执行</w:t>
            </w:r>
          </w:p>
        </w:tc>
      </w:tr>
      <w:tr w14:paraId="5510A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49D89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BDDA8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生态砌块相邻块错台（mm）</w:t>
            </w:r>
          </w:p>
        </w:tc>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DFDB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2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6362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钢尺测量</w:t>
            </w:r>
          </w:p>
          <w:p w14:paraId="21D500D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按</w:t>
            </w:r>
            <w:r>
              <w:rPr>
                <w:rFonts w:hint="default" w:ascii="Times New Roman" w:hAnsi="Times New Roman" w:eastAsia="宋体" w:cs="Times New Roman"/>
                <w:i w:val="0"/>
                <w:iCs w:val="0"/>
                <w:color w:val="000000"/>
                <w:kern w:val="0"/>
                <w:sz w:val="21"/>
                <w:szCs w:val="21"/>
                <w:u w:val="none"/>
                <w:lang w:val="en-US" w:eastAsia="zh-CN" w:bidi="ar"/>
              </w:rPr>
              <w:t>GB 50203</w:t>
            </w:r>
            <w:r>
              <w:rPr>
                <w:rFonts w:hint="eastAsia" w:ascii="Times New Roman" w:hAnsi="Times New Roman" w:cs="Times New Roman"/>
                <w:i w:val="0"/>
                <w:iCs w:val="0"/>
                <w:color w:val="000000"/>
                <w:kern w:val="0"/>
                <w:sz w:val="21"/>
                <w:szCs w:val="21"/>
                <w:u w:val="none"/>
                <w:lang w:val="en-US" w:eastAsia="zh-CN" w:bidi="ar"/>
              </w:rPr>
              <w:t>的规定执行</w:t>
            </w:r>
          </w:p>
        </w:tc>
      </w:tr>
      <w:tr w14:paraId="4A045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A95C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39FCB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格宾网箱尺寸（mm）</w:t>
            </w:r>
          </w:p>
        </w:tc>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CE9C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长、宽：±5%， 高：±3%</w:t>
            </w:r>
          </w:p>
        </w:tc>
        <w:tc>
          <w:tcPr>
            <w:tcW w:w="2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0904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钢尺测量</w:t>
            </w:r>
          </w:p>
          <w:p w14:paraId="0031E9F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按</w:t>
            </w:r>
            <w:r>
              <w:rPr>
                <w:rFonts w:hint="default" w:ascii="Times New Roman" w:hAnsi="Times New Roman" w:eastAsia="宋体" w:cs="Times New Roman"/>
                <w:i w:val="0"/>
                <w:iCs w:val="0"/>
                <w:color w:val="000000"/>
                <w:kern w:val="0"/>
                <w:sz w:val="21"/>
                <w:szCs w:val="21"/>
                <w:u w:val="none"/>
                <w:lang w:val="en-US" w:eastAsia="zh-CN" w:bidi="ar"/>
              </w:rPr>
              <w:t>YB/T 4190</w:t>
            </w:r>
            <w:r>
              <w:rPr>
                <w:rFonts w:hint="eastAsia" w:ascii="Times New Roman" w:hAnsi="Times New Roman" w:cs="Times New Roman"/>
                <w:i w:val="0"/>
                <w:iCs w:val="0"/>
                <w:color w:val="000000"/>
                <w:kern w:val="0"/>
                <w:sz w:val="21"/>
                <w:szCs w:val="21"/>
                <w:u w:val="none"/>
                <w:lang w:val="en-US" w:eastAsia="zh-CN" w:bidi="ar"/>
              </w:rPr>
              <w:t>的规定执行</w:t>
            </w:r>
          </w:p>
        </w:tc>
      </w:tr>
      <w:tr w14:paraId="22C70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96FF3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8BC6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植被覆盖率（%）</w:t>
            </w:r>
          </w:p>
        </w:tc>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86F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达到设计值（初期≥85%）</w:t>
            </w:r>
          </w:p>
        </w:tc>
        <w:tc>
          <w:tcPr>
            <w:tcW w:w="2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895F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方格网法或取样测量</w:t>
            </w:r>
          </w:p>
          <w:p w14:paraId="2E52941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按CJJ 82的规定执行</w:t>
            </w:r>
          </w:p>
        </w:tc>
      </w:tr>
      <w:tr w14:paraId="14D2C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10EF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26518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植被成活率（%）</w:t>
            </w:r>
          </w:p>
        </w:tc>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5486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达到设计值（初期≥85%）</w:t>
            </w:r>
          </w:p>
        </w:tc>
        <w:tc>
          <w:tcPr>
            <w:tcW w:w="2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EB91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观察、统计</w:t>
            </w:r>
          </w:p>
          <w:p w14:paraId="5B78EA7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cs="Times New Roman"/>
                <w:i w:val="0"/>
                <w:iCs w:val="0"/>
                <w:color w:val="000000"/>
                <w:kern w:val="0"/>
                <w:sz w:val="21"/>
                <w:szCs w:val="21"/>
                <w:u w:val="none"/>
                <w:lang w:val="en-US" w:eastAsia="zh-CN" w:bidi="ar"/>
              </w:rPr>
              <w:t>按CJJ 82的规定执行</w:t>
            </w:r>
          </w:p>
        </w:tc>
      </w:tr>
    </w:tbl>
    <w:p w14:paraId="21CFBE6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8.4.2 生态混凝土的抗压强度、连通孔隙率等指标应通过现场取样、实验室测试等方法进行检验。</w:t>
      </w:r>
    </w:p>
    <w:p w14:paraId="01E8F17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8.4.3 石笼网材的镀层单位面积质量、抗拉强度等可进行见证抽样送检。</w:t>
      </w:r>
    </w:p>
    <w:p w14:paraId="6068D879">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0" w:name="_Toc1487"/>
      <w:r>
        <w:rPr>
          <w:rFonts w:hint="eastAsia" w:ascii="Times New Roman" w:hAnsi="Times New Roman" w:eastAsia="黑体" w:cs="黑体"/>
          <w:b/>
          <w:bCs/>
          <w:kern w:val="21"/>
        </w:rPr>
        <w:t xml:space="preserve">8.5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验收程序</w:t>
      </w:r>
      <w:bookmarkEnd w:id="80"/>
    </w:p>
    <w:p w14:paraId="37B4DE2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8.5.1 工序验收</w:t>
      </w:r>
    </w:p>
    <w:p w14:paraId="18FDCE5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每道工序完成后，应由施工单位自检合格后，报请监理工程师验收。上道工序未经验收或验收不合格，不得进入下道工序施工。</w:t>
      </w:r>
    </w:p>
    <w:p w14:paraId="2666999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8.5.2 隐蔽工程验收</w:t>
      </w:r>
    </w:p>
    <w:p w14:paraId="225FD1D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对基础、地下管线、回填等隐蔽工程，</w:t>
      </w:r>
      <w:r>
        <w:rPr>
          <w:rFonts w:hint="eastAsia" w:ascii="Times New Roman" w:hAnsi="Times New Roman"/>
          <w:szCs w:val="24"/>
          <w:lang w:eastAsia="zh-CN"/>
        </w:rPr>
        <w:t>应</w:t>
      </w:r>
      <w:r>
        <w:rPr>
          <w:rFonts w:hint="eastAsia" w:ascii="Times New Roman" w:hAnsi="Times New Roman"/>
          <w:szCs w:val="24"/>
        </w:rPr>
        <w:t>在覆盖前由监理单位组织相关单位进行验收，并形成影像和文字记录。</w:t>
      </w:r>
    </w:p>
    <w:p w14:paraId="6AEC9E2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8.5.3 中间验收</w:t>
      </w:r>
    </w:p>
    <w:p w14:paraId="3F96F06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对于分部工程或在工程局部完成后，可进行中间验收。</w:t>
      </w:r>
    </w:p>
    <w:p w14:paraId="7805525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8.5.4 竣工验收</w:t>
      </w:r>
    </w:p>
    <w:p w14:paraId="6A8115E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工程全部完成后，应按SL</w:t>
      </w:r>
      <w:r>
        <w:rPr>
          <w:rFonts w:hint="eastAsia" w:ascii="Times New Roman" w:hAnsi="Times New Roman"/>
          <w:szCs w:val="24"/>
          <w:lang w:val="en-US" w:eastAsia="zh-CN"/>
        </w:rPr>
        <w:t>/T</w:t>
      </w:r>
      <w:r>
        <w:rPr>
          <w:rFonts w:hint="eastAsia" w:ascii="Times New Roman" w:hAnsi="Times New Roman"/>
          <w:szCs w:val="24"/>
        </w:rPr>
        <w:t xml:space="preserve"> 223</w:t>
      </w:r>
      <w:r>
        <w:rPr>
          <w:rFonts w:hint="eastAsia" w:ascii="Times New Roman" w:hAnsi="Times New Roman"/>
          <w:szCs w:val="24"/>
          <w:lang w:eastAsia="zh-CN"/>
        </w:rPr>
        <w:t>的</w:t>
      </w:r>
      <w:r>
        <w:rPr>
          <w:rFonts w:hint="eastAsia" w:ascii="Times New Roman" w:hAnsi="Times New Roman"/>
          <w:szCs w:val="24"/>
        </w:rPr>
        <w:t>规定进行竣工验收。验收应包括实体质量检查和质量保证资料核查。</w:t>
      </w:r>
    </w:p>
    <w:p w14:paraId="47A8FDAD">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1" w:name="_Toc325"/>
      <w:r>
        <w:rPr>
          <w:rFonts w:hint="eastAsia" w:ascii="Times New Roman" w:hAnsi="Times New Roman" w:eastAsia="黑体" w:cs="黑体"/>
          <w:b/>
          <w:bCs/>
          <w:kern w:val="21"/>
        </w:rPr>
        <w:t>8.</w:t>
      </w:r>
      <w:r>
        <w:rPr>
          <w:rFonts w:hint="eastAsia" w:ascii="Times New Roman" w:hAnsi="Times New Roman" w:eastAsia="黑体" w:cs="黑体"/>
          <w:b/>
          <w:bCs/>
          <w:kern w:val="21"/>
          <w:lang w:val="en-US" w:eastAsia="zh-CN"/>
        </w:rPr>
        <w:t>6</w:t>
      </w:r>
      <w:r>
        <w:rPr>
          <w:rFonts w:hint="eastAsia" w:ascii="Times New Roman" w:hAnsi="Times New Roman" w:eastAsia="黑体" w:cs="黑体"/>
          <w:b/>
          <w:bCs/>
          <w:kern w:val="21"/>
        </w:rPr>
        <w:t xml:space="preserve">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质量问题的处理​</w:t>
      </w:r>
      <w:bookmarkEnd w:id="81"/>
    </w:p>
    <w:p w14:paraId="6CB947B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8.6.1 对施工过程中发现的不合格材料、构件或工序，应立即标识、记录并隔离。</w:t>
      </w:r>
    </w:p>
    <w:p w14:paraId="5E648B9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8.6.2 对质量缺陷，应分析原因，制定专项处理方案，经监理单位批准后实施。处理完成后应重新进行验收。</w:t>
      </w:r>
    </w:p>
    <w:p w14:paraId="2728A88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8.6.3 对质量事故，应按有关规定及时上报，并保护现场，组织调查处理。</w:t>
      </w:r>
    </w:p>
    <w:p w14:paraId="5CD00644">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kern w:val="21"/>
        </w:rPr>
      </w:pPr>
      <w:bookmarkStart w:id="82" w:name="_Toc2242"/>
      <w:r>
        <w:rPr>
          <w:rFonts w:hint="eastAsia" w:ascii="Times New Roman" w:hAnsi="Times New Roman" w:eastAsia="黑体" w:cs="黑体"/>
          <w:b/>
          <w:bCs/>
          <w:kern w:val="21"/>
        </w:rPr>
        <w:t>8.</w:t>
      </w:r>
      <w:r>
        <w:rPr>
          <w:rFonts w:hint="eastAsia" w:ascii="Times New Roman" w:hAnsi="Times New Roman" w:eastAsia="黑体" w:cs="黑体"/>
          <w:b/>
          <w:bCs/>
          <w:kern w:val="21"/>
          <w:lang w:val="en-US" w:eastAsia="zh-CN"/>
        </w:rPr>
        <w:t>7</w:t>
      </w:r>
      <w:r>
        <w:rPr>
          <w:rFonts w:hint="eastAsia" w:ascii="Times New Roman" w:hAnsi="Times New Roman" w:eastAsia="黑体" w:cs="黑体"/>
          <w:b/>
          <w:bCs/>
          <w:kern w:val="21"/>
        </w:rPr>
        <w:t xml:space="preserve"> </w:t>
      </w:r>
      <w:r>
        <w:rPr>
          <w:rFonts w:hint="eastAsia" w:ascii="Times New Roman" w:hAnsi="Times New Roman" w:eastAsia="黑体" w:cs="黑体"/>
          <w:b/>
          <w:bCs/>
          <w:kern w:val="21"/>
          <w:lang w:val="en-US" w:eastAsia="zh-CN"/>
        </w:rPr>
        <w:t xml:space="preserve"> </w:t>
      </w:r>
      <w:r>
        <w:rPr>
          <w:rFonts w:hint="eastAsia" w:ascii="Times New Roman" w:hAnsi="Times New Roman" w:eastAsia="黑体" w:cs="黑体"/>
          <w:b w:val="0"/>
          <w:bCs w:val="0"/>
          <w:kern w:val="21"/>
        </w:rPr>
        <w:t>质量记录与资料管理</w:t>
      </w:r>
      <w:bookmarkEnd w:id="82"/>
    </w:p>
    <w:p w14:paraId="793E7E4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8.7.1 施工过程中应同步形成真实、准确、完整的质量记录，包括：材料验收记录、施工日志、测量记录、试验检测报告、隐蔽工程验收记录、影像资料等。</w:t>
      </w:r>
    </w:p>
    <w:p w14:paraId="4D73229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8.7.2 所有质量记录应分类整理、编目归档，具有可追溯性，作为工程竣工验收的重要依据。</w:t>
      </w:r>
    </w:p>
    <w:p w14:paraId="02A0B7B5">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83" w:name="_Toc22616"/>
      <w:r>
        <w:rPr>
          <w:rFonts w:hint="eastAsia" w:ascii="Times New Roman" w:hAnsi="Times New Roman" w:eastAsia="黑体"/>
          <w:b/>
          <w:bCs w:val="0"/>
          <w:kern w:val="44"/>
          <w:lang w:val="en-US" w:eastAsia="zh-CN"/>
        </w:rPr>
        <w:t>安全与环境保护</w:t>
      </w:r>
      <w:bookmarkEnd w:id="83"/>
    </w:p>
    <w:p w14:paraId="02FBD6D2">
      <w:pPr>
        <w:keepNext/>
        <w:keepLines/>
        <w:tabs>
          <w:tab w:val="left" w:pos="420"/>
          <w:tab w:val="left" w:pos="540"/>
        </w:tabs>
        <w:adjustRightInd/>
        <w:spacing w:before="156" w:beforeLines="50" w:after="156" w:afterLines="50" w:line="240" w:lineRule="auto"/>
        <w:outlineLvl w:val="1"/>
        <w:rPr>
          <w:rFonts w:ascii="Times New Roman" w:hAnsi="Times New Roman" w:eastAsia="黑体" w:cs="黑体"/>
          <w:bCs/>
          <w:kern w:val="21"/>
        </w:rPr>
      </w:pPr>
      <w:bookmarkStart w:id="84" w:name="_Toc19608"/>
      <w:bookmarkStart w:id="85" w:name="_Toc31840"/>
      <w:r>
        <w:rPr>
          <w:rFonts w:hint="eastAsia" w:ascii="Times New Roman" w:hAnsi="Times New Roman" w:eastAsia="黑体" w:cs="黑体"/>
          <w:b/>
          <w:bCs w:val="0"/>
          <w:kern w:val="21"/>
        </w:rPr>
        <w:t>9.1</w:t>
      </w:r>
      <w:r>
        <w:rPr>
          <w:rFonts w:hint="eastAsia" w:ascii="Times New Roman" w:hAnsi="Times New Roman" w:eastAsia="黑体" w:cs="黑体"/>
          <w:bCs/>
          <w:kern w:val="21"/>
          <w:lang w:val="en-US" w:eastAsia="zh-CN"/>
        </w:rPr>
        <w:t xml:space="preserve">  </w:t>
      </w:r>
      <w:bookmarkEnd w:id="84"/>
      <w:r>
        <w:rPr>
          <w:rFonts w:hint="eastAsia" w:ascii="Times New Roman" w:hAnsi="Times New Roman" w:eastAsia="黑体" w:cs="黑体"/>
          <w:bCs/>
          <w:kern w:val="21"/>
        </w:rPr>
        <w:t>安全管理</w:t>
      </w:r>
      <w:bookmarkEnd w:id="85"/>
    </w:p>
    <w:p w14:paraId="3796FD9B">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9.1.1 安全体系与责任制</w:t>
      </w:r>
    </w:p>
    <w:p w14:paraId="48502698">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9.1.1.1 施工单位应按照SL/T 721的规定建立、实施并保持健全的安全生产管理体系，制定各项安全生产规章制度和操作规程，明确各级管理人员和作业人员的安全职责。</w:t>
      </w:r>
    </w:p>
    <w:p w14:paraId="52F590CC">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9.1.1.2项目负责人应为施工现场安全第一责任人。应配备专职或兼职安全员，负责现场安全监督与检查。</w:t>
      </w:r>
    </w:p>
    <w:p w14:paraId="6A23FCF0">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9.1.2 安全教育培训与交底</w:t>
      </w:r>
    </w:p>
    <w:p w14:paraId="343CF583">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9.1.2.1 所有进场人员应经过三级安全教育培训，考核合格后方可上岗。培训内容应包括一般安全知识、岗位风险及应急处置措施；</w:t>
      </w:r>
    </w:p>
    <w:p w14:paraId="594F9C9B">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9.1.2.2 从事特种作业（电工、焊工、起重机械操作、挖掘机驾驶等）的人员应持有效的特种作业操作资格证书；</w:t>
      </w:r>
    </w:p>
    <w:p w14:paraId="68EAEF82">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9.1.2.3 施工前，技术负责人应对作业人员进行安全技术交底，告知作业场所的危险因素、防范措施和应急流程，并履行签字手续。</w:t>
      </w:r>
    </w:p>
    <w:p w14:paraId="0938FF0A">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9.1.3 现场安全防护</w:t>
      </w:r>
    </w:p>
    <w:p w14:paraId="73FFBCBC">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9.1.3.1 施工现场的危险区域，如临水岸边、陡坡、坑洞、配电设施周边，应设置牢固的防护栏杆、安全网和明显的安全警示标志。</w:t>
      </w:r>
    </w:p>
    <w:p w14:paraId="10590E04">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9.1.3.2 施工人员应按规定佩戴和使用安全帽、救生衣、防滑鞋、安全带等个人防护用品。</w:t>
      </w:r>
    </w:p>
    <w:p w14:paraId="7FFE8D1B">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9.1.3.3 临时施工道路应平整、畅通，并设置必要的交通警示标志。夜间施工应保证照明充足。</w:t>
      </w:r>
    </w:p>
    <w:p w14:paraId="2C5F4F3D">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9.1.4 临水与边坡作业安全</w:t>
      </w:r>
    </w:p>
    <w:p w14:paraId="096B6F0C">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9.1.4.1 临水作业应配备救生圈、安全绳等应急救援器材，并设置专人监护。严禁单人作业。</w:t>
      </w:r>
    </w:p>
    <w:p w14:paraId="7685A745">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9.1.4.2 应定期对施工边坡的稳定性进行监测和巡查，特别是在降雨后。发现裂缝、坍塌迹象应立即停止作业，撤离人员，并采取处理措施。</w:t>
      </w:r>
    </w:p>
    <w:p w14:paraId="600D2F28">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9.1.4.3 土方开挖应严格按设计坡度放坡，严禁掏挖和超挖。</w:t>
      </w:r>
    </w:p>
    <w:p w14:paraId="0F42AFFC">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9.1.5 施工机具与用电安全</w:t>
      </w:r>
    </w:p>
    <w:p w14:paraId="2CB3848F">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9.1.5.1 所有机械设备应定期检查、维护，确保其性能良好，安全防护装置齐全有效。操作人员应熟悉设备操作规程。</w:t>
      </w:r>
    </w:p>
    <w:p w14:paraId="63D7F9CF">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9.1.5.2 施工现场临时用电的线路敷设、设备安装与操作应符合GB 50194的规定。电缆线应架空或埋地，严禁拖地明设。电工应持证上岗，定期巡查。</w:t>
      </w:r>
    </w:p>
    <w:p w14:paraId="3B81D85C">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9.1.6 应急预案与响应</w:t>
      </w:r>
    </w:p>
    <w:p w14:paraId="1B63E3D2">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9.1.6.1 应针对基坑坍塌、溺水、触电、火灾、滑坡、暴雨洪水等潜在事故制定专项应急救援预案，并配备必要的应急物资和设备。</w:t>
      </w:r>
    </w:p>
    <w:p w14:paraId="72E7DE81">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9.1.6.2 应定期组织应急演练，使相关人员熟悉应急响应程序。</w:t>
      </w:r>
    </w:p>
    <w:p w14:paraId="2C9B9022">
      <w:pPr>
        <w:adjustRightInd/>
        <w:spacing w:line="360" w:lineRule="auto"/>
        <w:ind w:firstLine="420" w:firstLineChars="200"/>
        <w:rPr>
          <w:rFonts w:hint="eastAsia" w:ascii="Times New Roman" w:hAnsi="Times New Roman"/>
          <w:szCs w:val="24"/>
          <w:lang w:val="en-US" w:eastAsia="zh-CN"/>
        </w:rPr>
      </w:pPr>
      <w:r>
        <w:rPr>
          <w:rFonts w:hint="eastAsia" w:ascii="Times New Roman" w:hAnsi="Times New Roman"/>
          <w:szCs w:val="24"/>
          <w:lang w:val="en-US" w:eastAsia="zh-CN"/>
        </w:rPr>
        <w:t>9.1.6.3 发生安全事故时，应立即启动应急预案，组织救援，并按规定程序及时上报。</w:t>
      </w:r>
    </w:p>
    <w:p w14:paraId="0D69441A">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86" w:name="_Toc18713"/>
      <w:r>
        <w:rPr>
          <w:rFonts w:hint="eastAsia" w:ascii="Times New Roman" w:hAnsi="Times New Roman" w:eastAsia="黑体" w:cs="黑体"/>
          <w:b/>
          <w:bCs w:val="0"/>
          <w:kern w:val="21"/>
        </w:rPr>
        <w:t xml:space="preserve">9.2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环境保护</w:t>
      </w:r>
      <w:bookmarkEnd w:id="86"/>
    </w:p>
    <w:p w14:paraId="5BE1AFC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9.2.1 环境保护体系</w:t>
      </w:r>
    </w:p>
    <w:p w14:paraId="7634E0F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施工单位应制定并实施环境保护管理方案，落实环保责任，减少施工活动对周边水体、大气、土壤及生态环境的负面影响。</w:t>
      </w:r>
    </w:p>
    <w:p w14:paraId="1D386E0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9.2.2 水污染防治</w:t>
      </w:r>
    </w:p>
    <w:p w14:paraId="587B2B5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9.2.2</w:t>
      </w:r>
      <w:r>
        <w:rPr>
          <w:rFonts w:hint="eastAsia" w:ascii="Times New Roman" w:hAnsi="Times New Roman"/>
          <w:szCs w:val="24"/>
          <w:lang w:val="en-US" w:eastAsia="zh-CN"/>
        </w:rPr>
        <w:t>.1</w:t>
      </w:r>
      <w:r>
        <w:rPr>
          <w:rFonts w:hint="eastAsia" w:ascii="Times New Roman" w:hAnsi="Times New Roman"/>
          <w:szCs w:val="24"/>
        </w:rPr>
        <w:t xml:space="preserve"> 施工期间产生的生产废水（如基坑排水、车辆冲洗水）</w:t>
      </w:r>
      <w:r>
        <w:rPr>
          <w:rFonts w:hint="eastAsia" w:ascii="Times New Roman" w:hAnsi="Times New Roman"/>
          <w:szCs w:val="24"/>
          <w:lang w:eastAsia="zh-CN"/>
        </w:rPr>
        <w:t>应</w:t>
      </w:r>
      <w:r>
        <w:rPr>
          <w:rFonts w:hint="eastAsia" w:ascii="Times New Roman" w:hAnsi="Times New Roman"/>
          <w:szCs w:val="24"/>
        </w:rPr>
        <w:t>经沉淀、隔油等处理，达到排放标准后方可排放或循环利用。严禁施工废水直接排入河道</w:t>
      </w:r>
      <w:r>
        <w:rPr>
          <w:rFonts w:hint="eastAsia" w:ascii="Times New Roman" w:hAnsi="Times New Roman"/>
          <w:szCs w:val="24"/>
          <w:lang w:eastAsia="zh-CN"/>
        </w:rPr>
        <w:t>，水污染物排放应符合GB 8978的规定。</w:t>
      </w:r>
      <w:r>
        <w:rPr>
          <w:rFonts w:hint="eastAsia" w:ascii="Times New Roman" w:hAnsi="Times New Roman"/>
          <w:szCs w:val="24"/>
        </w:rPr>
        <w:t>。</w:t>
      </w:r>
    </w:p>
    <w:p w14:paraId="638E2BB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9.2.2</w:t>
      </w:r>
      <w:r>
        <w:rPr>
          <w:rFonts w:hint="eastAsia" w:ascii="Times New Roman" w:hAnsi="Times New Roman"/>
          <w:szCs w:val="24"/>
          <w:lang w:val="en-US" w:eastAsia="zh-CN"/>
        </w:rPr>
        <w:t>.2</w:t>
      </w:r>
      <w:r>
        <w:rPr>
          <w:rFonts w:hint="eastAsia" w:ascii="Times New Roman" w:hAnsi="Times New Roman"/>
          <w:szCs w:val="24"/>
        </w:rPr>
        <w:t xml:space="preserve"> 油类、化学品等物料应单独存放，远离水体，并采取严格的防渗漏、防溢流措施。</w:t>
      </w:r>
    </w:p>
    <w:p w14:paraId="306602F0">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9.2.2</w:t>
      </w:r>
      <w:r>
        <w:rPr>
          <w:rFonts w:hint="eastAsia" w:ascii="Times New Roman" w:hAnsi="Times New Roman"/>
          <w:szCs w:val="24"/>
          <w:lang w:val="en-US" w:eastAsia="zh-CN"/>
        </w:rPr>
        <w:t>.3</w:t>
      </w:r>
      <w:r>
        <w:rPr>
          <w:rFonts w:hint="eastAsia" w:ascii="Times New Roman" w:hAnsi="Times New Roman"/>
          <w:szCs w:val="24"/>
        </w:rPr>
        <w:t xml:space="preserve"> 生活污水应收集处理，不得随意排入河道。</w:t>
      </w:r>
    </w:p>
    <w:p w14:paraId="12F38B4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9.2.3 大气与噪声污染防治</w:t>
      </w:r>
    </w:p>
    <w:p w14:paraId="13D3CF5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9.2.3</w:t>
      </w:r>
      <w:r>
        <w:rPr>
          <w:rFonts w:hint="eastAsia" w:ascii="Times New Roman" w:hAnsi="Times New Roman"/>
          <w:szCs w:val="24"/>
          <w:lang w:val="en-US" w:eastAsia="zh-CN"/>
        </w:rPr>
        <w:t>.1</w:t>
      </w:r>
      <w:r>
        <w:rPr>
          <w:rFonts w:hint="eastAsia" w:ascii="Times New Roman" w:hAnsi="Times New Roman"/>
          <w:szCs w:val="24"/>
        </w:rPr>
        <w:t xml:space="preserve"> 施工现场应采取洒水、覆盖等措施防治扬尘。易产生扬尘的物料运输和堆放应采取遮盖措施。</w:t>
      </w:r>
    </w:p>
    <w:p w14:paraId="76429A6C">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9.2.3</w:t>
      </w:r>
      <w:r>
        <w:rPr>
          <w:rFonts w:hint="eastAsia" w:ascii="Times New Roman" w:hAnsi="Times New Roman"/>
          <w:szCs w:val="24"/>
          <w:lang w:val="en-US" w:eastAsia="zh-CN"/>
        </w:rPr>
        <w:t>.2</w:t>
      </w:r>
      <w:r>
        <w:rPr>
          <w:rFonts w:hint="eastAsia" w:ascii="Times New Roman" w:hAnsi="Times New Roman"/>
          <w:szCs w:val="24"/>
        </w:rPr>
        <w:t xml:space="preserve"> 应选用低噪声的施工设备和工艺。在居民区等噪声敏感区域附近施工时，应合理安排作业时间，必要时设置声屏障。噪声排放应符合GB 12523的规定。</w:t>
      </w:r>
    </w:p>
    <w:p w14:paraId="477DAF6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9.2.3</w:t>
      </w:r>
      <w:r>
        <w:rPr>
          <w:rFonts w:hint="eastAsia" w:ascii="Times New Roman" w:hAnsi="Times New Roman"/>
          <w:szCs w:val="24"/>
          <w:lang w:val="en-US" w:eastAsia="zh-CN"/>
        </w:rPr>
        <w:t>.3</w:t>
      </w:r>
      <w:r>
        <w:rPr>
          <w:rFonts w:hint="eastAsia" w:ascii="Times New Roman" w:hAnsi="Times New Roman"/>
          <w:szCs w:val="24"/>
        </w:rPr>
        <w:t xml:space="preserve"> 禁止在现场焚烧垃圾或其他废弃物</w:t>
      </w:r>
      <w:r>
        <w:rPr>
          <w:rFonts w:hint="eastAsia" w:ascii="Times New Roman" w:hAnsi="Times New Roman"/>
          <w:szCs w:val="24"/>
          <w:lang w:eastAsia="zh-CN"/>
        </w:rPr>
        <w:t>，大气污染物排放应符合GB 16297规定。</w:t>
      </w:r>
    </w:p>
    <w:p w14:paraId="17AE123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9.2.4 固体废弃物管理</w:t>
      </w:r>
    </w:p>
    <w:p w14:paraId="7860E62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9.2.4</w:t>
      </w:r>
      <w:r>
        <w:rPr>
          <w:rFonts w:hint="eastAsia" w:ascii="Times New Roman" w:hAnsi="Times New Roman"/>
          <w:szCs w:val="24"/>
          <w:lang w:val="en-US" w:eastAsia="zh-CN"/>
        </w:rPr>
        <w:t>.1</w:t>
      </w:r>
      <w:r>
        <w:rPr>
          <w:rFonts w:hint="eastAsia" w:ascii="Times New Roman" w:hAnsi="Times New Roman"/>
          <w:szCs w:val="24"/>
        </w:rPr>
        <w:t xml:space="preserve"> 施工产生的建筑垃圾、渣土应分类收集，尽可能回收利用。不能利用的应运至指定地点堆放或填埋，严禁随意倾倒，特别是倒入河道。</w:t>
      </w:r>
    </w:p>
    <w:p w14:paraId="560F628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9.2.4</w:t>
      </w:r>
      <w:r>
        <w:rPr>
          <w:rFonts w:hint="eastAsia" w:ascii="Times New Roman" w:hAnsi="Times New Roman"/>
          <w:szCs w:val="24"/>
          <w:lang w:val="en-US" w:eastAsia="zh-CN"/>
        </w:rPr>
        <w:t>.2</w:t>
      </w:r>
      <w:r>
        <w:rPr>
          <w:rFonts w:hint="eastAsia" w:ascii="Times New Roman" w:hAnsi="Times New Roman"/>
          <w:szCs w:val="24"/>
        </w:rPr>
        <w:t xml:space="preserve"> 生活垃圾应设置密闭容器收集，并委托环卫部门及时清运。</w:t>
      </w:r>
    </w:p>
    <w:p w14:paraId="028B9DB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9.2.5 生态保护</w:t>
      </w:r>
    </w:p>
    <w:p w14:paraId="6E7C849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9.2.5</w:t>
      </w:r>
      <w:r>
        <w:rPr>
          <w:rFonts w:hint="eastAsia" w:ascii="Times New Roman" w:hAnsi="Times New Roman"/>
          <w:szCs w:val="24"/>
          <w:lang w:val="en-US" w:eastAsia="zh-CN"/>
        </w:rPr>
        <w:t>.1</w:t>
      </w:r>
      <w:r>
        <w:rPr>
          <w:rFonts w:hint="eastAsia" w:ascii="Times New Roman" w:hAnsi="Times New Roman"/>
          <w:szCs w:val="24"/>
        </w:rPr>
        <w:t xml:space="preserve"> 施工前应明确划定施工活动范围，采用彩条旗、围栏等标识，严格控制作业边界，减少对施工区域外原生植被和土壤的破坏。</w:t>
      </w:r>
    </w:p>
    <w:p w14:paraId="5C1D3CA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9.2.5</w:t>
      </w:r>
      <w:r>
        <w:rPr>
          <w:rFonts w:hint="eastAsia" w:ascii="Times New Roman" w:hAnsi="Times New Roman"/>
          <w:szCs w:val="24"/>
          <w:lang w:val="en-US" w:eastAsia="zh-CN"/>
        </w:rPr>
        <w:t>.2</w:t>
      </w:r>
      <w:r>
        <w:rPr>
          <w:rFonts w:hint="eastAsia" w:ascii="Times New Roman" w:hAnsi="Times New Roman"/>
          <w:szCs w:val="24"/>
        </w:rPr>
        <w:t xml:space="preserve"> 对施工范围内的古树名木、珍稀濒危动植物应实施避让或保护。如需移植，应编制专项方案并报相关主管部门批准后，由专业队伍实施。</w:t>
      </w:r>
    </w:p>
    <w:p w14:paraId="3DE751C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9.2.5</w:t>
      </w:r>
      <w:r>
        <w:rPr>
          <w:rFonts w:hint="eastAsia" w:ascii="Times New Roman" w:hAnsi="Times New Roman"/>
          <w:szCs w:val="24"/>
          <w:lang w:val="en-US" w:eastAsia="zh-CN"/>
        </w:rPr>
        <w:t>.3</w:t>
      </w:r>
      <w:r>
        <w:rPr>
          <w:rFonts w:hint="eastAsia" w:ascii="Times New Roman" w:hAnsi="Times New Roman"/>
          <w:szCs w:val="24"/>
        </w:rPr>
        <w:t xml:space="preserve"> 施工活动宜避开鸟类繁殖期、鱼类洄游期等生态敏感时段。</w:t>
      </w:r>
    </w:p>
    <w:p w14:paraId="19E2D06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9.2.5</w:t>
      </w:r>
      <w:r>
        <w:rPr>
          <w:rFonts w:hint="eastAsia" w:ascii="Times New Roman" w:hAnsi="Times New Roman"/>
          <w:szCs w:val="24"/>
          <w:lang w:val="en-US" w:eastAsia="zh-CN"/>
        </w:rPr>
        <w:t>.4</w:t>
      </w:r>
      <w:r>
        <w:rPr>
          <w:rFonts w:hint="eastAsia" w:ascii="Times New Roman" w:hAnsi="Times New Roman"/>
          <w:szCs w:val="24"/>
        </w:rPr>
        <w:t xml:space="preserve"> 取、弃土场应严格按照设计划定范围实施，并采取有效的水土保持和生态恢复措施。</w:t>
      </w:r>
    </w:p>
    <w:p w14:paraId="39C2EB9D">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9.2.6 完工后环境恢复</w:t>
      </w:r>
    </w:p>
    <w:p w14:paraId="39352338">
      <w:pPr>
        <w:adjustRightInd/>
        <w:spacing w:line="360" w:lineRule="auto"/>
        <w:ind w:firstLine="420" w:firstLineChars="200"/>
        <w:rPr>
          <w:rFonts w:hint="eastAsia" w:ascii="Times New Roman" w:hAnsi="Times New Roman" w:eastAsia="宋体"/>
          <w:b w:val="0"/>
          <w:bCs/>
          <w:szCs w:val="24"/>
          <w:lang w:eastAsia="zh-CN"/>
        </w:rPr>
      </w:pPr>
      <w:r>
        <w:rPr>
          <w:rFonts w:hint="eastAsia" w:ascii="Times New Roman" w:hAnsi="Times New Roman"/>
          <w:szCs w:val="24"/>
        </w:rPr>
        <w:t>工程完工后，应及时拆除所有临时设施，彻底清理施工现场的建筑垃圾和生活垃圾，平整土地，并按照水土保持方案和设计要求，对临时占地区域进行土地整治和植被恢复。</w:t>
      </w:r>
    </w:p>
    <w:p w14:paraId="00FCAB00">
      <w:pPr>
        <w:keepNext/>
        <w:keepLines/>
        <w:pageBreakBefore w:val="0"/>
        <w:widowControl w:val="0"/>
        <w:numPr>
          <w:ilvl w:val="0"/>
          <w:numId w:val="32"/>
        </w:numPr>
        <w:kinsoku/>
        <w:wordWrap/>
        <w:overflowPunct/>
        <w:topLinePunct w:val="0"/>
        <w:autoSpaceDE/>
        <w:autoSpaceDN/>
        <w:bidi w:val="0"/>
        <w:adjustRightInd/>
        <w:snapToGrid/>
        <w:spacing w:before="313" w:beforeLines="100" w:after="313" w:afterLines="100" w:line="240" w:lineRule="auto"/>
        <w:ind w:left="363" w:leftChars="0" w:hanging="363" w:firstLineChars="0"/>
        <w:textAlignment w:val="auto"/>
        <w:outlineLvl w:val="0"/>
        <w:rPr>
          <w:rFonts w:hint="eastAsia" w:ascii="Times New Roman" w:hAnsi="Times New Roman" w:eastAsia="黑体"/>
          <w:b/>
          <w:bCs w:val="0"/>
          <w:kern w:val="44"/>
          <w:lang w:val="en-US" w:eastAsia="zh-CN"/>
        </w:rPr>
      </w:pPr>
      <w:bookmarkStart w:id="87" w:name="_Toc9454"/>
      <w:r>
        <w:rPr>
          <w:rFonts w:hint="eastAsia" w:ascii="Times New Roman" w:hAnsi="Times New Roman" w:eastAsia="黑体"/>
          <w:b/>
          <w:bCs w:val="0"/>
          <w:kern w:val="44"/>
          <w:lang w:val="en-US" w:eastAsia="zh-CN"/>
        </w:rPr>
        <w:t>验收与维护管理</w:t>
      </w:r>
      <w:bookmarkEnd w:id="87"/>
    </w:p>
    <w:p w14:paraId="009A1307">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88" w:name="_Toc17955"/>
      <w:r>
        <w:rPr>
          <w:rFonts w:hint="eastAsia" w:ascii="Times New Roman" w:hAnsi="Times New Roman" w:eastAsia="黑体" w:cs="黑体"/>
          <w:b/>
          <w:bCs w:val="0"/>
          <w:kern w:val="21"/>
        </w:rPr>
        <w:t xml:space="preserve">10.1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竣工验收</w:t>
      </w:r>
      <w:bookmarkEnd w:id="88"/>
    </w:p>
    <w:p w14:paraId="6683E90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10.1.1 验收依据与条件</w:t>
      </w:r>
    </w:p>
    <w:p w14:paraId="4E2FD77F">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10.1.1</w:t>
      </w:r>
      <w:r>
        <w:rPr>
          <w:rFonts w:hint="eastAsia" w:ascii="Times New Roman" w:hAnsi="Times New Roman"/>
          <w:szCs w:val="24"/>
          <w:lang w:val="en-US" w:eastAsia="zh-CN"/>
        </w:rPr>
        <w:t>.1</w:t>
      </w:r>
      <w:r>
        <w:rPr>
          <w:rFonts w:hint="eastAsia" w:ascii="Times New Roman" w:hAnsi="Times New Roman"/>
          <w:szCs w:val="24"/>
        </w:rPr>
        <w:t xml:space="preserve"> 生态护坡工程的竣工验收应依据施工合同、设计文件、施工图纸、变更文件及本规程等相关标准进行。</w:t>
      </w:r>
    </w:p>
    <w:p w14:paraId="4F3D63E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10.1.1</w:t>
      </w:r>
      <w:r>
        <w:rPr>
          <w:rFonts w:hint="eastAsia" w:ascii="Times New Roman" w:hAnsi="Times New Roman"/>
          <w:szCs w:val="24"/>
          <w:lang w:val="en-US" w:eastAsia="zh-CN"/>
        </w:rPr>
        <w:t>.2</w:t>
      </w:r>
      <w:r>
        <w:rPr>
          <w:rFonts w:hint="eastAsia" w:ascii="Times New Roman" w:hAnsi="Times New Roman"/>
          <w:szCs w:val="24"/>
        </w:rPr>
        <w:t xml:space="preserve"> 竣工验收应在工程已按设计内容全部完成、各分部工程验收合格、施工方提交竣工报告后，由建设单位组织进行。</w:t>
      </w:r>
    </w:p>
    <w:p w14:paraId="53B4956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10.1.1</w:t>
      </w:r>
      <w:r>
        <w:rPr>
          <w:rFonts w:hint="eastAsia" w:ascii="Times New Roman" w:hAnsi="Times New Roman"/>
          <w:szCs w:val="24"/>
          <w:lang w:val="en-US" w:eastAsia="zh-CN"/>
        </w:rPr>
        <w:t>.3</w:t>
      </w:r>
      <w:r>
        <w:rPr>
          <w:rFonts w:hint="eastAsia" w:ascii="Times New Roman" w:hAnsi="Times New Roman"/>
          <w:szCs w:val="24"/>
        </w:rPr>
        <w:t xml:space="preserve"> 涉及防洪安全的工程，其验收应在汛前完成。</w:t>
      </w:r>
    </w:p>
    <w:p w14:paraId="7EB559D4">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10.1.2 验收内容与要求</w:t>
      </w:r>
    </w:p>
    <w:p w14:paraId="48ED82E8">
      <w:pPr>
        <w:adjustRightInd/>
        <w:spacing w:line="360" w:lineRule="auto"/>
        <w:ind w:firstLine="420" w:firstLineChars="200"/>
        <w:rPr>
          <w:rFonts w:hint="eastAsia" w:ascii="Times New Roman" w:hAnsi="Times New Roman" w:eastAsia="宋体"/>
          <w:szCs w:val="24"/>
          <w:lang w:eastAsia="zh-CN"/>
        </w:rPr>
      </w:pPr>
      <w:r>
        <w:rPr>
          <w:rFonts w:hint="eastAsia" w:ascii="Times New Roman" w:hAnsi="Times New Roman"/>
          <w:szCs w:val="24"/>
          <w:lang w:val="en-US" w:eastAsia="zh-CN"/>
        </w:rPr>
        <w:t xml:space="preserve">10.1.2.1 </w:t>
      </w:r>
      <w:r>
        <w:rPr>
          <w:rFonts w:hint="eastAsia" w:ascii="Times New Roman" w:hAnsi="Times New Roman"/>
          <w:szCs w:val="24"/>
        </w:rPr>
        <w:t>竣工验收应包括但不限于实体工程质量核查</w:t>
      </w:r>
      <w:r>
        <w:rPr>
          <w:rFonts w:hint="eastAsia" w:ascii="Times New Roman" w:hAnsi="Times New Roman"/>
          <w:szCs w:val="24"/>
          <w:lang w:eastAsia="zh-CN"/>
        </w:rPr>
        <w:t>、</w:t>
      </w:r>
      <w:r>
        <w:rPr>
          <w:rFonts w:hint="eastAsia" w:ascii="Times New Roman" w:hAnsi="Times New Roman"/>
          <w:szCs w:val="24"/>
        </w:rPr>
        <w:t>生态效果评估</w:t>
      </w:r>
      <w:r>
        <w:rPr>
          <w:rFonts w:hint="eastAsia" w:ascii="Times New Roman" w:hAnsi="Times New Roman"/>
          <w:szCs w:val="24"/>
          <w:lang w:eastAsia="zh-CN"/>
        </w:rPr>
        <w:t>、</w:t>
      </w:r>
      <w:r>
        <w:rPr>
          <w:rFonts w:hint="eastAsia" w:ascii="Times New Roman" w:hAnsi="Times New Roman"/>
          <w:szCs w:val="24"/>
        </w:rPr>
        <w:t>功能实现验证</w:t>
      </w:r>
      <w:r>
        <w:rPr>
          <w:rFonts w:hint="eastAsia" w:ascii="Times New Roman" w:hAnsi="Times New Roman"/>
          <w:szCs w:val="24"/>
          <w:lang w:eastAsia="zh-CN"/>
        </w:rPr>
        <w:t>和</w:t>
      </w:r>
      <w:r>
        <w:rPr>
          <w:rFonts w:hint="eastAsia" w:ascii="Times New Roman" w:hAnsi="Times New Roman"/>
          <w:szCs w:val="24"/>
        </w:rPr>
        <w:t>竣工资料审查</w:t>
      </w:r>
      <w:r>
        <w:rPr>
          <w:rFonts w:hint="eastAsia" w:ascii="Times New Roman" w:hAnsi="Times New Roman"/>
          <w:szCs w:val="24"/>
          <w:lang w:eastAsia="zh-CN"/>
        </w:rPr>
        <w:t>。</w:t>
      </w:r>
    </w:p>
    <w:p w14:paraId="7FEB9657">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10.1.2.2</w:t>
      </w:r>
      <w:r>
        <w:rPr>
          <w:rFonts w:hint="eastAsia" w:ascii="Times New Roman" w:hAnsi="Times New Roman"/>
          <w:szCs w:val="24"/>
        </w:rPr>
        <w:t xml:space="preserve"> 实体工程质量核查：检查护坡结构的中线位置、顶底高程、坡度、表面平整度、结构厚度等允许偏差（见表8.4.1）；检查结构体的稳固性、完整性及外观质量。</w:t>
      </w:r>
    </w:p>
    <w:p w14:paraId="4277E4F8">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10.1.2.3</w:t>
      </w:r>
      <w:r>
        <w:rPr>
          <w:rFonts w:hint="eastAsia" w:ascii="Times New Roman" w:hAnsi="Times New Roman"/>
          <w:szCs w:val="24"/>
        </w:rPr>
        <w:t xml:space="preserve"> 生态效果评估：核查植被的覆盖率、成活率、长势及种类构成是否符合设计要求；检查水生植物的生长状况及分布范围。</w:t>
      </w:r>
    </w:p>
    <w:p w14:paraId="68410B85">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10.1.2.4</w:t>
      </w:r>
      <w:r>
        <w:rPr>
          <w:rFonts w:hint="eastAsia" w:ascii="Times New Roman" w:hAnsi="Times New Roman"/>
          <w:szCs w:val="24"/>
        </w:rPr>
        <w:t xml:space="preserve"> 功能实现验证：评估护坡的岸坡稳定、水土保持、水质净化（如适用）、生物栖息地营造等生态功能的初步实现情况。</w:t>
      </w:r>
    </w:p>
    <w:p w14:paraId="68B23F71">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10.1.2.5</w:t>
      </w:r>
      <w:r>
        <w:rPr>
          <w:rFonts w:hint="eastAsia" w:ascii="Times New Roman" w:hAnsi="Times New Roman"/>
          <w:szCs w:val="24"/>
        </w:rPr>
        <w:t xml:space="preserve"> 竣工资料审查：审查竣工图、材料合格证及检验报告、施工记录、质量检验评定资料、隐蔽工程验收记录、设计变更文件、施工总结报告等是否齐全、准确、完整。</w:t>
      </w:r>
    </w:p>
    <w:p w14:paraId="6FBC9863">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10.1.3 验收程序</w:t>
      </w:r>
    </w:p>
    <w:p w14:paraId="33EF5BE3">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10.1.3.1</w:t>
      </w:r>
      <w:r>
        <w:rPr>
          <w:rFonts w:hint="eastAsia" w:ascii="Times New Roman" w:hAnsi="Times New Roman"/>
          <w:szCs w:val="24"/>
        </w:rPr>
        <w:t xml:space="preserve"> 施工单位应对工程进行全面自检，确认符合验收条件后，向建设单位提交竣工验收申请报告。</w:t>
      </w:r>
    </w:p>
    <w:p w14:paraId="7ECB3BB2">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10.1.3.2</w:t>
      </w:r>
      <w:r>
        <w:rPr>
          <w:rFonts w:hint="eastAsia" w:ascii="Times New Roman" w:hAnsi="Times New Roman"/>
          <w:szCs w:val="24"/>
        </w:rPr>
        <w:t xml:space="preserve"> 建设单位收到报告后，应组织监理、设计、施工及运行管理等单位成立验收小组进行现场验收。</w:t>
      </w:r>
    </w:p>
    <w:p w14:paraId="7AD60FBB">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10.1.3.3</w:t>
      </w:r>
      <w:r>
        <w:rPr>
          <w:rFonts w:hint="eastAsia" w:ascii="Times New Roman" w:hAnsi="Times New Roman"/>
          <w:szCs w:val="24"/>
        </w:rPr>
        <w:t xml:space="preserve"> 对验收中发现的问题，施工单位应限期整改，并重新报请复核。</w:t>
      </w:r>
    </w:p>
    <w:p w14:paraId="022FAD63">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10.1.3.4</w:t>
      </w:r>
      <w:r>
        <w:rPr>
          <w:rFonts w:hint="eastAsia" w:ascii="Times New Roman" w:hAnsi="Times New Roman"/>
          <w:szCs w:val="24"/>
        </w:rPr>
        <w:t xml:space="preserve"> 验收合格后，各方应共同签署竣工验收鉴定书。</w:t>
      </w:r>
    </w:p>
    <w:p w14:paraId="4631D905">
      <w:pPr>
        <w:keepNext/>
        <w:keepLines/>
        <w:tabs>
          <w:tab w:val="left" w:pos="420"/>
          <w:tab w:val="left" w:pos="540"/>
        </w:tabs>
        <w:adjustRightInd/>
        <w:spacing w:before="156" w:beforeLines="50" w:after="156" w:afterLines="50" w:line="240" w:lineRule="auto"/>
        <w:outlineLvl w:val="1"/>
        <w:rPr>
          <w:rFonts w:hint="eastAsia" w:ascii="Times New Roman" w:hAnsi="Times New Roman" w:eastAsia="黑体" w:cs="黑体"/>
          <w:b/>
          <w:bCs w:val="0"/>
          <w:kern w:val="21"/>
        </w:rPr>
      </w:pPr>
      <w:bookmarkStart w:id="89" w:name="_Toc5210"/>
      <w:r>
        <w:rPr>
          <w:rFonts w:hint="eastAsia" w:ascii="Times New Roman" w:hAnsi="Times New Roman" w:eastAsia="黑体" w:cs="黑体"/>
          <w:b/>
          <w:bCs w:val="0"/>
          <w:kern w:val="21"/>
        </w:rPr>
        <w:t xml:space="preserve">10.2 </w:t>
      </w:r>
      <w:r>
        <w:rPr>
          <w:rFonts w:hint="eastAsia" w:ascii="Times New Roman" w:hAnsi="Times New Roman" w:eastAsia="黑体" w:cs="黑体"/>
          <w:b/>
          <w:bCs w:val="0"/>
          <w:kern w:val="21"/>
          <w:lang w:val="en-US" w:eastAsia="zh-CN"/>
        </w:rPr>
        <w:t xml:space="preserve"> </w:t>
      </w:r>
      <w:r>
        <w:rPr>
          <w:rFonts w:hint="eastAsia" w:ascii="Times New Roman" w:hAnsi="Times New Roman" w:eastAsia="黑体" w:cs="黑体"/>
          <w:b w:val="0"/>
          <w:bCs/>
          <w:kern w:val="21"/>
        </w:rPr>
        <w:t>维护管理</w:t>
      </w:r>
      <w:bookmarkEnd w:id="89"/>
    </w:p>
    <w:p w14:paraId="6D095C1A">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10.2.1 一般规定</w:t>
      </w:r>
    </w:p>
    <w:p w14:paraId="3C762BB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10.2.1</w:t>
      </w:r>
      <w:r>
        <w:rPr>
          <w:rFonts w:hint="eastAsia" w:ascii="Times New Roman" w:hAnsi="Times New Roman"/>
          <w:szCs w:val="24"/>
          <w:lang w:val="en-US" w:eastAsia="zh-CN"/>
        </w:rPr>
        <w:t>.1</w:t>
      </w:r>
      <w:r>
        <w:rPr>
          <w:rFonts w:hint="eastAsia" w:ascii="Times New Roman" w:hAnsi="Times New Roman"/>
          <w:szCs w:val="24"/>
        </w:rPr>
        <w:t xml:space="preserve"> 建设单位应明确工程竣工后的维护管理责任主体（如河道管理单位、专业养护公司等），并制定详细的《生态护坡维护管理方案》。</w:t>
      </w:r>
    </w:p>
    <w:p w14:paraId="2BEBA55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10.2.1</w:t>
      </w:r>
      <w:r>
        <w:rPr>
          <w:rFonts w:hint="eastAsia" w:ascii="Times New Roman" w:hAnsi="Times New Roman"/>
          <w:szCs w:val="24"/>
          <w:lang w:val="en-US" w:eastAsia="zh-CN"/>
        </w:rPr>
        <w:t>.2</w:t>
      </w:r>
      <w:r>
        <w:rPr>
          <w:rFonts w:hint="eastAsia" w:ascii="Times New Roman" w:hAnsi="Times New Roman"/>
          <w:szCs w:val="24"/>
        </w:rPr>
        <w:t xml:space="preserve"> 维护管理应遵循“预防为主、及时养护、因地制宜、促进演替”的原则，确保护坡结构安全与生态功能的长期稳定。</w:t>
      </w:r>
    </w:p>
    <w:p w14:paraId="5CF2B82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10.2.1</w:t>
      </w:r>
      <w:r>
        <w:rPr>
          <w:rFonts w:hint="eastAsia" w:ascii="Times New Roman" w:hAnsi="Times New Roman"/>
          <w:szCs w:val="24"/>
          <w:lang w:val="en-US" w:eastAsia="zh-CN"/>
        </w:rPr>
        <w:t>.3</w:t>
      </w:r>
      <w:r>
        <w:rPr>
          <w:rFonts w:hint="eastAsia" w:ascii="Times New Roman" w:hAnsi="Times New Roman"/>
          <w:szCs w:val="24"/>
        </w:rPr>
        <w:t xml:space="preserve"> 应建立定期巡查、监测、养护和记录制度。</w:t>
      </w:r>
    </w:p>
    <w:p w14:paraId="4F698E8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10.2.2 初期养护（竣工后1-2年）</w:t>
      </w:r>
    </w:p>
    <w:p w14:paraId="3E1D76C1">
      <w:pPr>
        <w:adjustRightInd/>
        <w:spacing w:line="360" w:lineRule="auto"/>
        <w:ind w:firstLine="420" w:firstLineChars="200"/>
        <w:rPr>
          <w:rFonts w:hint="eastAsia" w:ascii="Times New Roman" w:hAnsi="Times New Roman" w:eastAsia="宋体"/>
          <w:szCs w:val="24"/>
          <w:lang w:val="en-US" w:eastAsia="zh-CN"/>
        </w:rPr>
      </w:pPr>
      <w:r>
        <w:rPr>
          <w:rFonts w:hint="eastAsia" w:ascii="Times New Roman" w:hAnsi="Times New Roman"/>
          <w:szCs w:val="24"/>
        </w:rPr>
        <w:t>10.2.2</w:t>
      </w:r>
      <w:r>
        <w:rPr>
          <w:rFonts w:hint="eastAsia" w:ascii="Times New Roman" w:hAnsi="Times New Roman"/>
          <w:szCs w:val="24"/>
          <w:lang w:val="en-US" w:eastAsia="zh-CN"/>
        </w:rPr>
        <w:t>.1</w:t>
      </w:r>
      <w:r>
        <w:rPr>
          <w:rFonts w:hint="eastAsia" w:ascii="Times New Roman" w:hAnsi="Times New Roman"/>
          <w:szCs w:val="24"/>
        </w:rPr>
        <w:t xml:space="preserve"> </w:t>
      </w:r>
      <w:r>
        <w:rPr>
          <w:rFonts w:hint="eastAsia" w:ascii="Times New Roman" w:hAnsi="Times New Roman"/>
          <w:szCs w:val="24"/>
          <w:lang w:eastAsia="zh-CN"/>
        </w:rPr>
        <w:t>关于</w:t>
      </w:r>
      <w:r>
        <w:rPr>
          <w:rFonts w:hint="eastAsia" w:ascii="Times New Roman" w:hAnsi="Times New Roman"/>
          <w:szCs w:val="24"/>
        </w:rPr>
        <w:t>植被养护</w:t>
      </w:r>
      <w:r>
        <w:rPr>
          <w:rFonts w:hint="eastAsia" w:ascii="Times New Roman" w:hAnsi="Times New Roman"/>
          <w:szCs w:val="24"/>
          <w:lang w:eastAsia="zh-CN"/>
        </w:rPr>
        <w:t>，应按照如下要求进行：</w:t>
      </w:r>
    </w:p>
    <w:p w14:paraId="40833AC8">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a) </w:t>
      </w:r>
      <w:r>
        <w:rPr>
          <w:rFonts w:hint="eastAsia" w:ascii="Times New Roman" w:hAnsi="Times New Roman"/>
          <w:szCs w:val="24"/>
        </w:rPr>
        <w:t>定期浇水，确保在干旱季节土壤墒情满足植物生长需求。</w:t>
      </w:r>
    </w:p>
    <w:p w14:paraId="3F822ACE">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b) </w:t>
      </w:r>
      <w:r>
        <w:rPr>
          <w:rFonts w:hint="eastAsia" w:ascii="Times New Roman" w:hAnsi="Times New Roman"/>
          <w:szCs w:val="24"/>
        </w:rPr>
        <w:t>应及时追施肥料，促进植物生长。</w:t>
      </w:r>
    </w:p>
    <w:p w14:paraId="1DD5ECC0">
      <w:pPr>
        <w:adjustRightInd/>
        <w:spacing w:line="360" w:lineRule="auto"/>
        <w:ind w:firstLine="420" w:firstLineChars="200"/>
        <w:rPr>
          <w:rFonts w:hint="eastAsia" w:ascii="Times New Roman" w:hAnsi="Times New Roman"/>
          <w:szCs w:val="24"/>
        </w:rPr>
      </w:pPr>
    </w:p>
    <w:p w14:paraId="5B08D2BC">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c) </w:t>
      </w:r>
      <w:r>
        <w:rPr>
          <w:rFonts w:hint="eastAsia" w:ascii="Times New Roman" w:hAnsi="Times New Roman"/>
          <w:szCs w:val="24"/>
        </w:rPr>
        <w:t>应及时对缺株、死苗进行补植、补播，对病虫害进行防治。</w:t>
      </w:r>
    </w:p>
    <w:p w14:paraId="1E6E1EB4">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d) </w:t>
      </w:r>
      <w:r>
        <w:rPr>
          <w:rFonts w:hint="eastAsia" w:ascii="Times New Roman" w:hAnsi="Times New Roman"/>
          <w:szCs w:val="24"/>
        </w:rPr>
        <w:t>对生长过快的植物进行适度修剪或间伐，防止其过度竞争。</w:t>
      </w:r>
    </w:p>
    <w:p w14:paraId="7C33D066">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10.2.2</w:t>
      </w:r>
      <w:r>
        <w:rPr>
          <w:rFonts w:hint="eastAsia" w:ascii="Times New Roman" w:hAnsi="Times New Roman"/>
          <w:szCs w:val="24"/>
          <w:lang w:val="en-US" w:eastAsia="zh-CN"/>
        </w:rPr>
        <w:t xml:space="preserve">.2 </w:t>
      </w:r>
      <w:r>
        <w:rPr>
          <w:rFonts w:hint="eastAsia" w:ascii="Times New Roman" w:hAnsi="Times New Roman"/>
          <w:szCs w:val="24"/>
        </w:rPr>
        <w:t>应频繁检查护坡结构（如砌块、石笼、格宾等）是否有松动、塌陷、破损等情况，并及时修复。</w:t>
      </w:r>
    </w:p>
    <w:p w14:paraId="1AA0197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10.2.3 长期维护</w:t>
      </w:r>
    </w:p>
    <w:p w14:paraId="08B9EAB5">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10.2.3</w:t>
      </w:r>
      <w:r>
        <w:rPr>
          <w:rFonts w:hint="eastAsia" w:ascii="Times New Roman" w:hAnsi="Times New Roman"/>
          <w:szCs w:val="24"/>
          <w:lang w:val="en-US" w:eastAsia="zh-CN"/>
        </w:rPr>
        <w:t>.1</w:t>
      </w:r>
      <w:r>
        <w:rPr>
          <w:rFonts w:hint="eastAsia" w:ascii="Times New Roman" w:hAnsi="Times New Roman"/>
          <w:szCs w:val="24"/>
        </w:rPr>
        <w:t xml:space="preserve"> 维护责任主体应每月至少进行一次例行巡查，在汛期、暴雨后及融雪后应增加巡查频次。巡查内容包括坡面整体稳定性、结构完整性、植被状况、排水通畅性等。</w:t>
      </w:r>
    </w:p>
    <w:p w14:paraId="186074B8">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10.2.3</w:t>
      </w:r>
      <w:r>
        <w:rPr>
          <w:rFonts w:hint="eastAsia" w:ascii="Times New Roman" w:hAnsi="Times New Roman"/>
          <w:szCs w:val="24"/>
          <w:lang w:val="en-US" w:eastAsia="zh-CN"/>
        </w:rPr>
        <w:t>.2</w:t>
      </w:r>
      <w:r>
        <w:rPr>
          <w:rFonts w:hint="eastAsia" w:ascii="Times New Roman" w:hAnsi="Times New Roman"/>
          <w:szCs w:val="24"/>
        </w:rPr>
        <w:t xml:space="preserve"> 对出现的局部破损、空洞、基础掏空等结构性缺陷，应及时进行专业性修复和加固。</w:t>
      </w:r>
    </w:p>
    <w:p w14:paraId="58C8A0F4">
      <w:pPr>
        <w:adjustRightInd/>
        <w:spacing w:line="360" w:lineRule="auto"/>
        <w:ind w:firstLine="420" w:firstLineChars="200"/>
        <w:rPr>
          <w:rFonts w:hint="eastAsia" w:ascii="Times New Roman" w:hAnsi="Times New Roman"/>
          <w:szCs w:val="24"/>
          <w:lang w:eastAsia="zh-CN"/>
        </w:rPr>
      </w:pPr>
      <w:r>
        <w:rPr>
          <w:rFonts w:hint="eastAsia" w:ascii="Times New Roman" w:hAnsi="Times New Roman"/>
          <w:szCs w:val="24"/>
        </w:rPr>
        <w:t>10.2.3</w:t>
      </w:r>
      <w:r>
        <w:rPr>
          <w:rFonts w:hint="eastAsia" w:ascii="Times New Roman" w:hAnsi="Times New Roman"/>
          <w:szCs w:val="24"/>
          <w:lang w:val="en-US" w:eastAsia="zh-CN"/>
        </w:rPr>
        <w:t>.3</w:t>
      </w:r>
      <w:r>
        <w:rPr>
          <w:rFonts w:hint="eastAsia" w:ascii="Times New Roman" w:hAnsi="Times New Roman"/>
          <w:szCs w:val="24"/>
        </w:rPr>
        <w:t xml:space="preserve"> </w:t>
      </w:r>
      <w:r>
        <w:rPr>
          <w:rFonts w:hint="eastAsia" w:ascii="Times New Roman" w:hAnsi="Times New Roman"/>
          <w:szCs w:val="24"/>
          <w:lang w:eastAsia="zh-CN"/>
        </w:rPr>
        <w:t>关于</w:t>
      </w:r>
      <w:r>
        <w:rPr>
          <w:rFonts w:hint="eastAsia" w:ascii="Times New Roman" w:hAnsi="Times New Roman"/>
          <w:szCs w:val="24"/>
        </w:rPr>
        <w:t>植被群落调控</w:t>
      </w:r>
      <w:r>
        <w:rPr>
          <w:rFonts w:hint="eastAsia" w:ascii="Times New Roman" w:hAnsi="Times New Roman"/>
          <w:szCs w:val="24"/>
          <w:lang w:eastAsia="zh-CN"/>
        </w:rPr>
        <w:t>，应做到：</w:t>
      </w:r>
    </w:p>
    <w:p w14:paraId="7227F1AE">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a) </w:t>
      </w:r>
      <w:r>
        <w:rPr>
          <w:rFonts w:hint="eastAsia" w:ascii="Times New Roman" w:hAnsi="Times New Roman"/>
          <w:szCs w:val="24"/>
        </w:rPr>
        <w:t>通过适度的人工干预，促进乡土植物群落的正向演替，抑制入侵物种的蔓延。</w:t>
      </w:r>
    </w:p>
    <w:p w14:paraId="551C26D1">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b) </w:t>
      </w:r>
      <w:r>
        <w:rPr>
          <w:rFonts w:hint="eastAsia" w:ascii="Times New Roman" w:hAnsi="Times New Roman"/>
          <w:szCs w:val="24"/>
        </w:rPr>
        <w:t>对退化或老化的植被进行局部更新和复壮。</w:t>
      </w:r>
    </w:p>
    <w:p w14:paraId="3B4DF825">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c) </w:t>
      </w:r>
      <w:r>
        <w:rPr>
          <w:rFonts w:hint="eastAsia" w:ascii="Times New Roman" w:hAnsi="Times New Roman"/>
          <w:szCs w:val="24"/>
        </w:rPr>
        <w:t>对水生植物群落进行季节性收割和清理，防止其过度繁殖导致水体富营养化。</w:t>
      </w:r>
    </w:p>
    <w:p w14:paraId="67EA17BE">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10.2.3</w:t>
      </w:r>
      <w:r>
        <w:rPr>
          <w:rFonts w:hint="eastAsia" w:ascii="Times New Roman" w:hAnsi="Times New Roman"/>
          <w:szCs w:val="24"/>
          <w:lang w:val="en-US" w:eastAsia="zh-CN"/>
        </w:rPr>
        <w:t xml:space="preserve">.4 </w:t>
      </w:r>
      <w:r>
        <w:rPr>
          <w:rFonts w:hint="eastAsia" w:ascii="Times New Roman" w:hAnsi="Times New Roman"/>
          <w:szCs w:val="24"/>
          <w:lang w:eastAsia="zh-CN"/>
        </w:rPr>
        <w:t>应</w:t>
      </w:r>
      <w:r>
        <w:rPr>
          <w:rFonts w:hint="eastAsia" w:ascii="Times New Roman" w:hAnsi="Times New Roman"/>
          <w:szCs w:val="24"/>
        </w:rPr>
        <w:t>定期清理坡面及坡脚的淤积物、垃圾，确保排水设施畅通。</w:t>
      </w:r>
    </w:p>
    <w:p w14:paraId="7C8BA139">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10.2.4 监测与评估</w:t>
      </w:r>
    </w:p>
    <w:p w14:paraId="5C58692B">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10.2.4</w:t>
      </w:r>
      <w:r>
        <w:rPr>
          <w:rFonts w:hint="eastAsia" w:ascii="Times New Roman" w:hAnsi="Times New Roman"/>
          <w:szCs w:val="24"/>
          <w:lang w:val="en-US" w:eastAsia="zh-CN"/>
        </w:rPr>
        <w:t>.1</w:t>
      </w:r>
      <w:r>
        <w:rPr>
          <w:rFonts w:hint="eastAsia" w:ascii="Times New Roman" w:hAnsi="Times New Roman"/>
          <w:szCs w:val="24"/>
        </w:rPr>
        <w:t xml:space="preserve"> 应建立长期监测机制，对护坡工程的稳定性、生态效益进行跟踪监测。监测指标可包括：</w:t>
      </w:r>
    </w:p>
    <w:p w14:paraId="4AB2F29D">
      <w:pPr>
        <w:numPr>
          <w:ilvl w:val="0"/>
          <w:numId w:val="33"/>
        </w:numPr>
        <w:adjustRightInd/>
        <w:spacing w:line="360" w:lineRule="auto"/>
        <w:ind w:firstLine="420" w:firstLineChars="200"/>
        <w:rPr>
          <w:rFonts w:hint="eastAsia" w:ascii="Times New Roman" w:hAnsi="Times New Roman"/>
          <w:szCs w:val="24"/>
        </w:rPr>
      </w:pPr>
      <w:r>
        <w:rPr>
          <w:rFonts w:hint="eastAsia" w:ascii="Times New Roman" w:hAnsi="Times New Roman"/>
          <w:szCs w:val="24"/>
        </w:rPr>
        <w:t>结构稳定性：坡面位移、沉降（可通过测量标志点监测）。</w:t>
      </w:r>
    </w:p>
    <w:p w14:paraId="764AB5A1">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b) </w:t>
      </w:r>
      <w:r>
        <w:rPr>
          <w:rFonts w:hint="eastAsia" w:ascii="Times New Roman" w:hAnsi="Times New Roman"/>
          <w:szCs w:val="24"/>
        </w:rPr>
        <w:t>植被生态：群落组成、盖度、生物量、多样性指数。</w:t>
      </w:r>
    </w:p>
    <w:p w14:paraId="702C2E31">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c) </w:t>
      </w:r>
      <w:r>
        <w:rPr>
          <w:rFonts w:hint="eastAsia" w:ascii="Times New Roman" w:hAnsi="Times New Roman"/>
          <w:szCs w:val="24"/>
        </w:rPr>
        <w:t>水土保持效果：土壤侵蚀量、水土流失情况。</w:t>
      </w:r>
    </w:p>
    <w:p w14:paraId="79491EA6">
      <w:pPr>
        <w:adjustRightInd/>
        <w:spacing w:line="360" w:lineRule="auto"/>
        <w:ind w:firstLine="420" w:firstLineChars="200"/>
        <w:rPr>
          <w:rFonts w:hint="eastAsia" w:ascii="Times New Roman" w:hAnsi="Times New Roman"/>
          <w:szCs w:val="24"/>
        </w:rPr>
      </w:pPr>
      <w:r>
        <w:rPr>
          <w:rFonts w:hint="eastAsia" w:ascii="Times New Roman" w:hAnsi="Times New Roman"/>
          <w:szCs w:val="24"/>
          <w:lang w:val="en-US" w:eastAsia="zh-CN"/>
        </w:rPr>
        <w:t xml:space="preserve">d) </w:t>
      </w:r>
      <w:r>
        <w:rPr>
          <w:rFonts w:hint="eastAsia" w:ascii="Times New Roman" w:hAnsi="Times New Roman"/>
          <w:szCs w:val="24"/>
        </w:rPr>
        <w:t>水环境改善（如适用）：水体透明度、营养盐浓度等。</w:t>
      </w:r>
    </w:p>
    <w:p w14:paraId="61482E92">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10.2.4</w:t>
      </w:r>
      <w:r>
        <w:rPr>
          <w:rFonts w:hint="eastAsia" w:ascii="Times New Roman" w:hAnsi="Times New Roman"/>
          <w:szCs w:val="24"/>
          <w:lang w:val="en-US" w:eastAsia="zh-CN"/>
        </w:rPr>
        <w:t>.2</w:t>
      </w:r>
      <w:r>
        <w:rPr>
          <w:rFonts w:hint="eastAsia" w:ascii="Times New Roman" w:hAnsi="Times New Roman"/>
          <w:szCs w:val="24"/>
        </w:rPr>
        <w:t xml:space="preserve"> 宜定期（如每3-5年）进行一次全面的后评估，综合评价工程的综合效益，并为未来的维护管理和类似工程的设计提供依据。</w:t>
      </w:r>
    </w:p>
    <w:p w14:paraId="0AE7A001">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10.2.5 档案管理</w:t>
      </w:r>
    </w:p>
    <w:p w14:paraId="70312F87">
      <w:pPr>
        <w:adjustRightInd/>
        <w:spacing w:line="360" w:lineRule="auto"/>
        <w:ind w:firstLine="420" w:firstLineChars="200"/>
        <w:rPr>
          <w:rFonts w:hint="eastAsia" w:ascii="Times New Roman" w:hAnsi="Times New Roman"/>
          <w:szCs w:val="24"/>
        </w:rPr>
      </w:pPr>
      <w:r>
        <w:rPr>
          <w:rFonts w:hint="eastAsia" w:ascii="Times New Roman" w:hAnsi="Times New Roman"/>
          <w:szCs w:val="24"/>
        </w:rPr>
        <w:t>维护管理责任主体应建立详细的维护档案，记录每次巡查、养护、维修、监测及评估的结果，实现工程全生命周期的可追溯管理。</w:t>
      </w:r>
    </w:p>
    <w:p w14:paraId="41B3F42C">
      <w:pPr>
        <w:pStyle w:val="110"/>
        <w:numPr>
          <w:ilvl w:val="2"/>
          <w:numId w:val="0"/>
        </w:numPr>
        <w:spacing w:before="120" w:after="120"/>
        <w:jc w:val="center"/>
        <w:rPr>
          <w:color w:val="000000"/>
          <w14:scene3d>
            <w14:lightRig w14:rig="threePt" w14:dir="t">
              <w14:rot w14:lat="0" w14:lon="0" w14:rev="0"/>
            </w14:lightRig>
          </w14:scene3d>
        </w:rPr>
      </w:pPr>
      <w:bookmarkStart w:id="90" w:name="_Toc20249"/>
      <w:bookmarkStart w:id="91" w:name="_Toc21902"/>
      <w:bookmarkStart w:id="92" w:name="_Toc25698"/>
      <w:bookmarkStart w:id="93" w:name="_Toc26480"/>
      <w:r>
        <w:rPr>
          <w:color w:val="000000"/>
        </w:rPr>
        <w:drawing>
          <wp:inline distT="0" distB="0" distL="0" distR="0">
            <wp:extent cx="1485900" cy="317500"/>
            <wp:effectExtent l="0" t="0" r="0" b="6350"/>
            <wp:docPr id="1871296992" name="图片 1"/>
            <wp:cNvGraphicFramePr/>
            <a:graphic xmlns:a="http://schemas.openxmlformats.org/drawingml/2006/main">
              <a:graphicData uri="http://schemas.openxmlformats.org/drawingml/2006/picture">
                <pic:pic xmlns:pic="http://schemas.openxmlformats.org/drawingml/2006/picture">
                  <pic:nvPicPr>
                    <pic:cNvPr id="1871296992" name="图片 1"/>
                    <pic:cNvPicPr/>
                  </pic:nvPicPr>
                  <pic:blipFill>
                    <a:blip r:embed="rId26">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25"/>
      <w:bookmarkEnd w:id="26"/>
      <w:bookmarkEnd w:id="90"/>
      <w:bookmarkEnd w:id="91"/>
      <w:bookmarkEnd w:id="92"/>
      <w:bookmarkEnd w:id="93"/>
    </w:p>
    <w:sectPr>
      <w:headerReference r:id="rId22" w:type="first"/>
      <w:headerReference r:id="rId20" w:type="default"/>
      <w:footerReference r:id="rId23" w:type="default"/>
      <w:headerReference r:id="rId21" w:type="even"/>
      <w:footerReference r:id="rId24" w:type="even"/>
      <w:pgSz w:w="11906" w:h="16838"/>
      <w:pgMar w:top="1928" w:right="1134" w:bottom="1134" w:left="1134" w:header="1418" w:footer="1134" w:gutter="284"/>
      <w:pgNumType w:start="1"/>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6AFEC">
    <w:pPr>
      <w:pStyle w:val="19"/>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A63A">
    <w:pPr>
      <w:pStyle w:val="19"/>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2D905">
    <w:pPr>
      <w:pStyle w:val="57"/>
    </w:pPr>
    <w:r>
      <w:fldChar w:fldCharType="begin"/>
    </w:r>
    <w:r>
      <w:instrText xml:space="preserve">PAGE   \* MERGEFORMAT</w:instrText>
    </w:r>
    <w:r>
      <w:fldChar w:fldCharType="separate"/>
    </w:r>
    <w:r>
      <w:rPr>
        <w:lang w:val="zh-CN"/>
      </w:rPr>
      <w:t>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D3EC8">
    <w:pPr>
      <w:pStyle w:val="56"/>
    </w:pPr>
    <w:r>
      <w:fldChar w:fldCharType="begin"/>
    </w:r>
    <w:r>
      <w:instrText xml:space="preserve"> PAGE   \* MERGEFORMAT \* MERGEFORMAT </w:instrText>
    </w:r>
    <w:r>
      <w:fldChar w:fldCharType="separate"/>
    </w:r>
    <w:r>
      <w:t>II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82671">
    <w:pPr>
      <w:pStyle w:val="57"/>
    </w:pPr>
    <w:r>
      <w:fldChar w:fldCharType="begin"/>
    </w:r>
    <w:r>
      <w:instrText xml:space="preserve">PAGE   \* MERGEFORMAT</w:instrText>
    </w:r>
    <w:r>
      <w:fldChar w:fldCharType="separate"/>
    </w:r>
    <w:r>
      <w:rPr>
        <w:lang w:val="zh-CN"/>
      </w:rPr>
      <w:t>13</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A4BCA">
    <w:pPr>
      <w:pStyle w:val="56"/>
    </w:pPr>
    <w:r>
      <w:fldChar w:fldCharType="begin"/>
    </w:r>
    <w:r>
      <w:instrText xml:space="preserve"> PAGE   \* MERGEFORMAT \* MERGEFORMAT </w:instrText>
    </w:r>
    <w:r>
      <w:fldChar w:fldCharType="separate"/>
    </w:r>
    <w:r>
      <w:t>14</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77730">
    <w:pPr>
      <w:pStyle w:val="57"/>
    </w:pPr>
    <w:r>
      <w:fldChar w:fldCharType="begin"/>
    </w:r>
    <w:r>
      <w:instrText xml:space="preserve">PAGE   \* MERGEFORMAT</w:instrText>
    </w:r>
    <w:r>
      <w:fldChar w:fldCharType="separate"/>
    </w:r>
    <w:r>
      <w:rPr>
        <w:lang w:val="zh-CN"/>
      </w:rPr>
      <w:t>3</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83970">
    <w:pPr>
      <w:pStyle w:val="56"/>
    </w:pPr>
    <w:r>
      <w:fldChar w:fldCharType="begin"/>
    </w:r>
    <w:r>
      <w:instrText xml:space="preserve"> PAGE   \* MERGEFORMAT \* MERGEFORMAT </w:instrText>
    </w:r>
    <w:r>
      <w:fldChar w:fldCharType="separate"/>
    </w:r>
    <w: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FB40B">
    <w:pPr>
      <w:pStyle w:val="20"/>
      <w:wordWrap w:val="0"/>
      <w:jc w:val="right"/>
      <w:rPr>
        <w:rFonts w:ascii="黑体" w:hAnsi="黑体" w:eastAsia="黑体"/>
      </w:rPr>
    </w:pPr>
    <w:r>
      <w:pict>
        <v:shape id="PowerPlusWaterMarkObject850688767" o:spid="_x0000_s2051" o:spt="136" type="#_x0000_t136" style="position:absolute;left:0pt;height:131.85pt;width:527.55pt;mso-position-horizontal:center;mso-position-horizontal-relative:margin;mso-position-vertical:center;mso-position-vertical-relative:margin;rotation:20643840f;z-index:-251654144;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D5129">
    <w:pPr>
      <w:pStyle w:val="20"/>
    </w:pPr>
    <w:r>
      <w:pict>
        <v:shape id="PowerPlusWaterMarkObject850688766" o:spid="_x0000_s2050" o:spt="136" type="#_x0000_t136" style="position:absolute;left:0pt;height:131.85pt;width:527.55pt;mso-position-horizontal:center;mso-position-horizontal-relative:margin;mso-position-vertical:center;mso-position-vertical-relative:margin;rotation:20643840f;z-index:-251655168;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D9E2B">
    <w:pPr>
      <w:pStyle w:val="20"/>
      <w:jc w:val="both"/>
      <w:rPr>
        <w:sz w:val="2"/>
        <w:szCs w:val="2"/>
      </w:rPr>
    </w:pPr>
    <w:r>
      <w:pict>
        <v:shape id="PowerPlusWaterMarkObject850688765" o:spid="_x0000_s2049" o:spt="136" type="#_x0000_t136" style="position:absolute;left:0pt;height:131.85pt;width:527.55pt;mso-position-horizontal:center;mso-position-horizontal-relative:margin;mso-position-vertical:center;mso-position-vertical-relative:margin;rotation:20643840f;z-index:-251657216;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7701F">
    <w:pPr>
      <w:pStyle w:val="66"/>
    </w:pPr>
    <w:r>
      <w:pict>
        <v:shape id="PowerPlusWaterMarkObject850688770" o:spid="_x0000_s2054" o:spt="136" type="#_x0000_t136" style="position:absolute;left:0pt;height:131.85pt;width:527.55pt;mso-position-horizontal:center;mso-position-horizontal-relative:margin;mso-position-vertical:center;mso-position-vertical-relative:margin;rotation:20643840f;z-index:-251651072;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163C0">
    <w:pPr>
      <w:pStyle w:val="67"/>
    </w:pPr>
    <w:r>
      <w:pict>
        <v:shape id="PowerPlusWaterMarkObject850688769" o:spid="_x0000_s2053" o:spt="136" type="#_x0000_t136" style="position:absolute;left:0pt;height:131.85pt;width:527.55pt;mso-position-horizontal:center;mso-position-horizontal-relative:margin;mso-position-vertical:center;mso-position-vertical-relative:margin;rotation:20643840f;z-index:-251652096;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90C72">
    <w:pPr>
      <w:pStyle w:val="20"/>
    </w:pPr>
    <w:r>
      <w:pict>
        <v:shape id="PowerPlusWaterMarkObject850688768" o:spid="_x0000_s2052" o:spt="136" type="#_x0000_t136" style="position:absolute;left:0pt;height:131.85pt;width:527.55pt;mso-position-horizontal:center;mso-position-horizontal-relative:margin;mso-position-vertical:center;mso-position-vertical-relative:margin;rotation:20643840f;z-index:-251653120;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80AC1">
    <w:pPr>
      <w:pStyle w:val="66"/>
    </w:pPr>
    <w:r>
      <w:pict>
        <v:shape id="PowerPlusWaterMarkObject850688773" o:spid="_x0000_s2057" o:spt="136" type="#_x0000_t136" style="position:absolute;left:0pt;height:131.85pt;width:527.55pt;mso-position-horizontal:center;mso-position-horizontal-relative:margin;mso-position-vertical:center;mso-position-vertical-relative:margin;rotation:20643840f;z-index:-251648000;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79734">
    <w:pPr>
      <w:pStyle w:val="67"/>
    </w:pPr>
    <w:r>
      <w:pict>
        <v:shape id="PowerPlusWaterMarkObject850688772" o:spid="_x0000_s2056" o:spt="136" type="#_x0000_t136" style="position:absolute;left:0pt;height:131.85pt;width:527.55pt;mso-position-horizontal:center;mso-position-horizontal-relative:margin;mso-position-vertical:center;mso-position-vertical-relative:margin;rotation:20643840f;z-index:-251649024;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66CA8">
    <w:pPr>
      <w:pStyle w:val="20"/>
    </w:pPr>
    <w:r>
      <w:pict>
        <v:shape id="PowerPlusWaterMarkObject850688771" o:spid="_x0000_s2055" o:spt="136" type="#_x0000_t136" style="position:absolute;left:0pt;height:131.85pt;width:527.55pt;mso-position-horizontal:center;mso-position-horizontal-relative:margin;mso-position-vertical:center;mso-position-vertical-relative:margin;rotation:20643840f;z-index:-251650048;mso-width-relative:page;mso-height-relative:page;" fillcolor="#8EAADB"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201C6">
    <w:pPr>
      <w:pStyle w:val="66"/>
    </w:pPr>
    <w:r>
      <w:pict>
        <v:shape id="PowerPlusWaterMarkObject850688776" o:spid="_x0000_s2060" o:spt="136" type="#_x0000_t136" style="position:absolute;left:0pt;height:131.85pt;width:527.55pt;mso-position-horizontal:center;mso-position-horizontal-relative:margin;mso-position-vertical:center;mso-position-vertical-relative:margin;rotation:20643840f;z-index:-251644928;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fldChar w:fldCharType="begin"/>
    </w:r>
    <w:r>
      <w:instrText xml:space="preserve"> STYLEREF  标准文件_文件编号  \* MERGEFORMAT </w:instrText>
    </w:r>
    <w:r>
      <w:fldChar w:fldCharType="separate"/>
    </w:r>
    <w:r>
      <w:t>T/COSOCC XXXX—XXXX</w:t>
    </w:r>
    <w: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87CEC">
    <w:pPr>
      <w:pStyle w:val="67"/>
    </w:pPr>
    <w:r>
      <w:pict>
        <v:shape id="PowerPlusWaterMarkObject850688775" o:spid="_x0000_s2059" o:spt="136" type="#_x0000_t136" style="position:absolute;left:0pt;height:131.85pt;width:527.55pt;mso-position-horizontal:center;mso-position-horizontal-relative:margin;mso-position-vertical:center;mso-position-vertical-relative:margin;rotation:20643840f;z-index:-251645952;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r>
      <w:rPr>
        <w:rFonts w:hint="eastAsia"/>
      </w:rPr>
      <w:fldChar w:fldCharType="begin"/>
    </w:r>
    <w:r>
      <w:rPr>
        <w:rFonts w:hint="eastAsia"/>
      </w:rPr>
      <w:instrText xml:space="preserve"> STYLEREF  标准文件_文件编号 \* MERGEFORMAT </w:instrText>
    </w:r>
    <w:r>
      <w:rPr>
        <w:rFonts w:hint="eastAsia"/>
      </w:rPr>
      <w:fldChar w:fldCharType="separate"/>
    </w:r>
    <w:r>
      <w:rPr>
        <w:rFonts w:hint="eastAsia"/>
      </w:rPr>
      <w:t>T/COSOCC XXXX—XXXX</w:t>
    </w:r>
    <w:r>
      <w:rPr>
        <w:rFonts w:hint="eastAsia"/>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43D3F">
    <w:pPr>
      <w:pStyle w:val="20"/>
    </w:pPr>
    <w:r>
      <w:pict>
        <v:shape id="PowerPlusWaterMarkObject850688774" o:spid="_x0000_s2058" o:spt="136" type="#_x0000_t136" style="position:absolute;left:0pt;height:131.85pt;width:527.55pt;mso-position-horizontal:center;mso-position-horizontal-relative:margin;mso-position-vertical:center;mso-position-vertical-relative:margin;rotation:20643840f;z-index:-251646976;mso-width-relative:page;mso-height-relative:page;" fillcolor="#9CC2E5" filled="t" stroked="f" coordsize="21600,21600" o:allowincell="f">
          <v:path/>
          <v:fill on="t" opacity="32768f" focussize="0,0"/>
          <v:stroke on="f"/>
          <v:imagedata o:title=""/>
          <o:lock v:ext="edit"/>
          <v:textpath on="t" fitshape="t" fitpath="t" trim="f" xscale="f" string="T/COSOCC"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9"/>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4"/>
      <w:suff w:val="nothing"/>
      <w:lvlText w:val="%1%2.%3　"/>
      <w:lvlJc w:val="left"/>
      <w:pPr>
        <w:ind w:left="0" w:firstLine="0"/>
      </w:pPr>
    </w:lvl>
    <w:lvl w:ilvl="3" w:tentative="0">
      <w:start w:val="1"/>
      <w:numFmt w:val="decimal"/>
      <w:pStyle w:val="123"/>
      <w:suff w:val="nothing"/>
      <w:lvlText w:val="%1%2.%3.%4　"/>
      <w:lvlJc w:val="left"/>
      <w:pPr>
        <w:ind w:left="0" w:firstLine="0"/>
      </w:pPr>
    </w:lvl>
    <w:lvl w:ilvl="4" w:tentative="0">
      <w:start w:val="1"/>
      <w:numFmt w:val="decimal"/>
      <w:pStyle w:val="158"/>
      <w:suff w:val="nothing"/>
      <w:lvlText w:val="%1%2.%3.%4.%5　"/>
      <w:lvlJc w:val="left"/>
      <w:pPr>
        <w:ind w:left="0" w:firstLine="0"/>
      </w:pPr>
    </w:lvl>
    <w:lvl w:ilvl="5" w:tentative="0">
      <w:start w:val="1"/>
      <w:numFmt w:val="decimal"/>
      <w:pStyle w:val="160"/>
      <w:suff w:val="nothing"/>
      <w:lvlText w:val="%1%2.%3.%4.%5.%6　"/>
      <w:lvlJc w:val="left"/>
      <w:pPr>
        <w:ind w:left="0" w:firstLine="0"/>
      </w:pPr>
    </w:lvl>
    <w:lvl w:ilvl="6" w:tentative="0">
      <w:start w:val="1"/>
      <w:numFmt w:val="decimal"/>
      <w:pStyle w:val="163"/>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5"/>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94"/>
      <w:lvlText w:val="%1"/>
      <w:lvlJc w:val="left"/>
      <w:pPr>
        <w:ind w:left="425" w:hanging="425"/>
      </w:pPr>
      <w:rPr>
        <w:rFonts w:hint="eastAsia"/>
      </w:rPr>
    </w:lvl>
    <w:lvl w:ilvl="1" w:tentative="0">
      <w:start w:val="1"/>
      <w:numFmt w:val="decimal"/>
      <w:pStyle w:val="205"/>
      <w:suff w:val="nothing"/>
      <w:lvlText w:val="%10.%2 "/>
      <w:lvlJc w:val="left"/>
      <w:pPr>
        <w:ind w:left="0" w:firstLine="0"/>
      </w:pPr>
      <w:rPr>
        <w:rFonts w:hint="eastAsia" w:ascii="黑体" w:eastAsia="黑体" w:hAnsiTheme="minorHAnsi"/>
        <w:b w:val="0"/>
        <w:i w:val="0"/>
        <w:sz w:val="21"/>
      </w:rPr>
    </w:lvl>
    <w:lvl w:ilvl="2" w:tentative="0">
      <w:start w:val="1"/>
      <w:numFmt w:val="decimal"/>
      <w:pStyle w:val="206"/>
      <w:suff w:val="nothing"/>
      <w:lvlText w:val="%10.%2.%3 "/>
      <w:lvlJc w:val="left"/>
      <w:pPr>
        <w:ind w:left="0" w:firstLine="0"/>
      </w:pPr>
      <w:rPr>
        <w:rFonts w:hint="eastAsia" w:ascii="黑体" w:eastAsia="黑体" w:hAnsiTheme="minorHAnsi"/>
        <w:b w:val="0"/>
        <w:i w:val="0"/>
        <w:sz w:val="21"/>
      </w:rPr>
    </w:lvl>
    <w:lvl w:ilvl="3" w:tentative="0">
      <w:start w:val="1"/>
      <w:numFmt w:val="decimal"/>
      <w:pStyle w:val="207"/>
      <w:suff w:val="nothing"/>
      <w:lvlText w:val="%10.%2.%3.%4 "/>
      <w:lvlJc w:val="left"/>
      <w:pPr>
        <w:ind w:left="0" w:firstLine="0"/>
      </w:pPr>
      <w:rPr>
        <w:rFonts w:hint="eastAsia" w:ascii="黑体" w:eastAsia="黑体" w:hAnsiTheme="minorHAnsi"/>
        <w:b w:val="0"/>
        <w:i w:val="0"/>
        <w:sz w:val="21"/>
      </w:rPr>
    </w:lvl>
    <w:lvl w:ilvl="4" w:tentative="0">
      <w:start w:val="1"/>
      <w:numFmt w:val="decimal"/>
      <w:pStyle w:val="208"/>
      <w:suff w:val="nothing"/>
      <w:lvlText w:val="%10.%2.%3.%4.%5 "/>
      <w:lvlJc w:val="left"/>
      <w:pPr>
        <w:ind w:left="0" w:firstLine="0"/>
      </w:pPr>
      <w:rPr>
        <w:rFonts w:hint="eastAsia" w:ascii="黑体" w:eastAsia="黑体" w:hAnsiTheme="minorHAnsi"/>
        <w:b w:val="0"/>
        <w:i w:val="0"/>
        <w:sz w:val="21"/>
      </w:rPr>
    </w:lvl>
    <w:lvl w:ilvl="5" w:tentative="0">
      <w:start w:val="1"/>
      <w:numFmt w:val="decimal"/>
      <w:pStyle w:val="209"/>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6"/>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72"/>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4"/>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5"/>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90"/>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7"/>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7"/>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92"/>
      <w:lvlText w:val=""/>
      <w:lvlJc w:val="left"/>
      <w:pPr>
        <w:ind w:left="851" w:hanging="431"/>
      </w:pPr>
      <w:rPr>
        <w:rFonts w:hint="default" w:ascii="Symbol" w:hAnsi="Symbol"/>
        <w:sz w:val="21"/>
      </w:rPr>
    </w:lvl>
    <w:lvl w:ilvl="2" w:tentative="0">
      <w:start w:val="1"/>
      <w:numFmt w:val="bullet"/>
      <w:pStyle w:val="177"/>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6"/>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9"/>
      <w:lvlText w:val="%1)"/>
      <w:lvlJc w:val="left"/>
      <w:pPr>
        <w:tabs>
          <w:tab w:val="left" w:pos="851"/>
        </w:tabs>
        <w:ind w:left="851" w:hanging="426"/>
      </w:pPr>
      <w:rPr>
        <w:rFonts w:hint="eastAsia" w:ascii="宋体" w:hAnsi="Times New Roman" w:eastAsia="宋体"/>
        <w:sz w:val="21"/>
      </w:rPr>
    </w:lvl>
    <w:lvl w:ilvl="1" w:tentative="0">
      <w:start w:val="1"/>
      <w:numFmt w:val="decimal"/>
      <w:pStyle w:val="114"/>
      <w:lvlText w:val="%2)"/>
      <w:lvlJc w:val="left"/>
      <w:pPr>
        <w:tabs>
          <w:tab w:val="left" w:pos="1276"/>
        </w:tabs>
        <w:ind w:left="1276" w:hanging="425"/>
      </w:pPr>
      <w:rPr>
        <w:rFonts w:hint="eastAsia" w:ascii="宋体" w:hAnsi="Times New Roman" w:eastAsia="宋体"/>
        <w:sz w:val="21"/>
      </w:rPr>
    </w:lvl>
    <w:lvl w:ilvl="2" w:tentative="0">
      <w:start w:val="1"/>
      <w:numFmt w:val="decimal"/>
      <w:pStyle w:val="122"/>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203"/>
      <w:lvlText w:val="%1"/>
      <w:lvlJc w:val="left"/>
      <w:pPr>
        <w:ind w:left="420" w:hanging="420"/>
      </w:pPr>
      <w:rPr>
        <w:rFonts w:hint="eastAsia"/>
      </w:rPr>
    </w:lvl>
    <w:lvl w:ilvl="1" w:tentative="0">
      <w:start w:val="1"/>
      <w:numFmt w:val="decimal"/>
      <w:pStyle w:val="88"/>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8"/>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C89AA8D"/>
    <w:multiLevelType w:val="multilevel"/>
    <w:tmpl w:val="4C89AA8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E5D0534"/>
    <w:multiLevelType w:val="multilevel"/>
    <w:tmpl w:val="4E5D0534"/>
    <w:lvl w:ilvl="0" w:tentative="0">
      <w:start w:val="1"/>
      <w:numFmt w:val="decimal"/>
      <w:pStyle w:val="121"/>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7">
    <w:nsid w:val="54632751"/>
    <w:multiLevelType w:val="multilevel"/>
    <w:tmpl w:val="54632751"/>
    <w:lvl w:ilvl="0" w:tentative="0">
      <w:start w:val="1"/>
      <w:numFmt w:val="none"/>
      <w:pStyle w:val="98"/>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8">
    <w:nsid w:val="557C2AF5"/>
    <w:multiLevelType w:val="multilevel"/>
    <w:tmpl w:val="557C2AF5"/>
    <w:lvl w:ilvl="0" w:tentative="0">
      <w:start w:val="1"/>
      <w:numFmt w:val="decimal"/>
      <w:pStyle w:val="119"/>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9">
    <w:nsid w:val="5603797C"/>
    <w:multiLevelType w:val="multilevel"/>
    <w:tmpl w:val="5603797C"/>
    <w:lvl w:ilvl="0" w:tentative="0">
      <w:start w:val="1"/>
      <w:numFmt w:val="upperLetter"/>
      <w:pStyle w:val="204"/>
      <w:suff w:val="space"/>
      <w:lvlText w:val="%1"/>
      <w:lvlJc w:val="left"/>
      <w:pPr>
        <w:ind w:left="425" w:hanging="425"/>
      </w:pPr>
      <w:rPr>
        <w:rFonts w:hint="eastAsia"/>
      </w:rPr>
    </w:lvl>
    <w:lvl w:ilvl="1" w:tentative="0">
      <w:start w:val="1"/>
      <w:numFmt w:val="decimal"/>
      <w:pStyle w:val="82"/>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0">
    <w:nsid w:val="564D2089"/>
    <w:multiLevelType w:val="multilevel"/>
    <w:tmpl w:val="564D2089"/>
    <w:lvl w:ilvl="0" w:tentative="0">
      <w:start w:val="1"/>
      <w:numFmt w:val="none"/>
      <w:pStyle w:val="116"/>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644622F9"/>
    <w:multiLevelType w:val="multilevel"/>
    <w:tmpl w:val="644622F9"/>
    <w:lvl w:ilvl="0" w:tentative="0">
      <w:start w:val="1"/>
      <w:numFmt w:val="upperRoman"/>
      <w:pStyle w:val="173"/>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2">
    <w:nsid w:val="646260FA"/>
    <w:multiLevelType w:val="multilevel"/>
    <w:tmpl w:val="646260FA"/>
    <w:lvl w:ilvl="0" w:tentative="0">
      <w:start w:val="1"/>
      <w:numFmt w:val="decimal"/>
      <w:pStyle w:val="117"/>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3">
    <w:nsid w:val="654A26C9"/>
    <w:multiLevelType w:val="multilevel"/>
    <w:tmpl w:val="654A26C9"/>
    <w:lvl w:ilvl="0" w:tentative="0">
      <w:start w:val="1"/>
      <w:numFmt w:val="none"/>
      <w:pStyle w:val="194"/>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4">
    <w:nsid w:val="657D3FBC"/>
    <w:multiLevelType w:val="multilevel"/>
    <w:tmpl w:val="657D3FBC"/>
    <w:lvl w:ilvl="0" w:tentative="0">
      <w:start w:val="1"/>
      <w:numFmt w:val="upperLetter"/>
      <w:pStyle w:val="81"/>
      <w:suff w:val="nothing"/>
      <w:lvlText w:val="附录%1"/>
      <w:lvlJc w:val="left"/>
      <w:pPr>
        <w:ind w:left="0" w:firstLine="0"/>
      </w:pPr>
      <w:rPr>
        <w:rFonts w:hint="eastAsia"/>
        <w:spacing w:val="100"/>
      </w:rPr>
    </w:lvl>
    <w:lvl w:ilvl="1" w:tentative="0">
      <w:start w:val="1"/>
      <w:numFmt w:val="decimal"/>
      <w:pStyle w:val="83"/>
      <w:suff w:val="nothing"/>
      <w:lvlText w:val="%1.%2　"/>
      <w:lvlJc w:val="left"/>
      <w:pPr>
        <w:ind w:left="0" w:firstLine="0"/>
      </w:pPr>
      <w:rPr>
        <w:rFonts w:hint="eastAsia" w:ascii="黑体" w:eastAsia="黑体"/>
        <w:b w:val="0"/>
        <w:i w:val="0"/>
        <w:sz w:val="21"/>
      </w:rPr>
    </w:lvl>
    <w:lvl w:ilvl="2" w:tentative="0">
      <w:start w:val="1"/>
      <w:numFmt w:val="decimal"/>
      <w:pStyle w:val="84"/>
      <w:suff w:val="nothing"/>
      <w:lvlText w:val="%1.%2.%3　"/>
      <w:lvlJc w:val="left"/>
      <w:pPr>
        <w:ind w:left="0" w:firstLine="0"/>
      </w:pPr>
      <w:rPr>
        <w:rFonts w:hint="eastAsia" w:ascii="黑体" w:eastAsia="黑体"/>
        <w:b w:val="0"/>
        <w:i w:val="0"/>
        <w:sz w:val="21"/>
      </w:rPr>
    </w:lvl>
    <w:lvl w:ilvl="3" w:tentative="0">
      <w:start w:val="1"/>
      <w:numFmt w:val="decimal"/>
      <w:pStyle w:val="86"/>
      <w:suff w:val="nothing"/>
      <w:lvlText w:val="%1.%2.%3.%4　"/>
      <w:lvlJc w:val="left"/>
      <w:pPr>
        <w:ind w:left="0" w:firstLine="0"/>
      </w:pPr>
      <w:rPr>
        <w:rFonts w:hint="eastAsia" w:ascii="黑体" w:eastAsia="黑体"/>
        <w:b w:val="0"/>
        <w:i w:val="0"/>
        <w:sz w:val="21"/>
      </w:rPr>
    </w:lvl>
    <w:lvl w:ilvl="4" w:tentative="0">
      <w:start w:val="1"/>
      <w:numFmt w:val="decimal"/>
      <w:pStyle w:val="87"/>
      <w:suff w:val="nothing"/>
      <w:lvlText w:val="%1.%2.%3.%4.%5　"/>
      <w:lvlJc w:val="left"/>
      <w:pPr>
        <w:ind w:left="0" w:firstLine="0"/>
      </w:pPr>
      <w:rPr>
        <w:rFonts w:hint="eastAsia" w:ascii="黑体" w:eastAsia="黑体"/>
        <w:b w:val="0"/>
        <w:i w:val="0"/>
        <w:sz w:val="21"/>
      </w:rPr>
    </w:lvl>
    <w:lvl w:ilvl="5" w:tentative="0">
      <w:start w:val="1"/>
      <w:numFmt w:val="decimal"/>
      <w:pStyle w:val="89"/>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5">
    <w:nsid w:val="69506ABF"/>
    <w:multiLevelType w:val="multilevel"/>
    <w:tmpl w:val="69506ABF"/>
    <w:lvl w:ilvl="0" w:tentative="0">
      <w:start w:val="1"/>
      <w:numFmt w:val="bullet"/>
      <w:pStyle w:val="193"/>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6">
    <w:nsid w:val="6CA41985"/>
    <w:multiLevelType w:val="multilevel"/>
    <w:tmpl w:val="6CA41985"/>
    <w:lvl w:ilvl="0" w:tentative="0">
      <w:start w:val="1"/>
      <w:numFmt w:val="decimal"/>
      <w:pStyle w:val="102"/>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6CE42AC1"/>
    <w:multiLevelType w:val="multilevel"/>
    <w:tmpl w:val="6CE42AC1"/>
    <w:lvl w:ilvl="0" w:tentative="0">
      <w:start w:val="1"/>
      <w:numFmt w:val="lowerLetter"/>
      <w:pStyle w:val="17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CEA2025"/>
    <w:multiLevelType w:val="multilevel"/>
    <w:tmpl w:val="6CEA2025"/>
    <w:lvl w:ilvl="0" w:tentative="0">
      <w:start w:val="1"/>
      <w:numFmt w:val="none"/>
      <w:pStyle w:val="157"/>
      <w:suff w:val="nothing"/>
      <w:lvlText w:val="%1"/>
      <w:lvlJc w:val="left"/>
      <w:pPr>
        <w:ind w:left="0" w:firstLine="0"/>
      </w:pPr>
      <w:rPr>
        <w:rFonts w:hint="eastAsia"/>
      </w:rPr>
    </w:lvl>
    <w:lvl w:ilvl="1" w:tentative="0">
      <w:start w:val="1"/>
      <w:numFmt w:val="decimal"/>
      <w:pStyle w:val="109"/>
      <w:suff w:val="nothing"/>
      <w:lvlText w:val="%1%2　"/>
      <w:lvlJc w:val="left"/>
      <w:pPr>
        <w:ind w:left="0" w:firstLine="0"/>
      </w:pPr>
      <w:rPr>
        <w:rFonts w:hint="eastAsia" w:ascii="黑体" w:eastAsia="黑体"/>
        <w:b w:val="0"/>
        <w:i w:val="0"/>
        <w:sz w:val="21"/>
      </w:rPr>
    </w:lvl>
    <w:lvl w:ilvl="2" w:tentative="0">
      <w:start w:val="1"/>
      <w:numFmt w:val="decimal"/>
      <w:pStyle w:val="110"/>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70"/>
      <w:suff w:val="nothing"/>
      <w:lvlText w:val="%1%2.%3.%4　"/>
      <w:lvlJc w:val="left"/>
      <w:pPr>
        <w:ind w:left="0" w:firstLine="0"/>
      </w:pPr>
      <w:rPr>
        <w:rFonts w:hint="eastAsia" w:ascii="黑体" w:eastAsia="黑体"/>
        <w:b w:val="0"/>
        <w:i w:val="0"/>
        <w:sz w:val="21"/>
      </w:rPr>
    </w:lvl>
    <w:lvl w:ilvl="4" w:tentative="0">
      <w:start w:val="1"/>
      <w:numFmt w:val="decimal"/>
      <w:pStyle w:val="99"/>
      <w:suff w:val="nothing"/>
      <w:lvlText w:val="%1%2.%3.%4.%5　"/>
      <w:lvlJc w:val="left"/>
      <w:pPr>
        <w:ind w:left="0" w:firstLine="0"/>
      </w:pPr>
      <w:rPr>
        <w:rFonts w:hint="eastAsia" w:ascii="黑体" w:eastAsia="黑体"/>
        <w:b w:val="0"/>
        <w:i w:val="0"/>
        <w:sz w:val="21"/>
      </w:rPr>
    </w:lvl>
    <w:lvl w:ilvl="5" w:tentative="0">
      <w:start w:val="1"/>
      <w:numFmt w:val="decimal"/>
      <w:pStyle w:val="103"/>
      <w:suff w:val="nothing"/>
      <w:lvlText w:val="%1%2.%3.%4.%5.%6　"/>
      <w:lvlJc w:val="left"/>
      <w:pPr>
        <w:ind w:left="0" w:firstLine="0"/>
      </w:pPr>
      <w:rPr>
        <w:rFonts w:hint="eastAsia" w:ascii="黑体" w:eastAsia="黑体"/>
        <w:b w:val="0"/>
        <w:i w:val="0"/>
        <w:sz w:val="21"/>
      </w:rPr>
    </w:lvl>
    <w:lvl w:ilvl="6" w:tentative="0">
      <w:start w:val="1"/>
      <w:numFmt w:val="decimal"/>
      <w:pStyle w:val="108"/>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9">
    <w:nsid w:val="6DBF04F4"/>
    <w:multiLevelType w:val="multilevel"/>
    <w:tmpl w:val="6DBF04F4"/>
    <w:lvl w:ilvl="0" w:tentative="0">
      <w:start w:val="1"/>
      <w:numFmt w:val="none"/>
      <w:pStyle w:val="184"/>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0">
    <w:nsid w:val="6DF35F19"/>
    <w:multiLevelType w:val="multilevel"/>
    <w:tmpl w:val="6DF35F19"/>
    <w:lvl w:ilvl="0" w:tentative="0">
      <w:start w:val="1"/>
      <w:numFmt w:val="decimal"/>
      <w:pStyle w:val="120"/>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1">
    <w:nsid w:val="76933334"/>
    <w:multiLevelType w:val="multilevel"/>
    <w:tmpl w:val="76933334"/>
    <w:lvl w:ilvl="0" w:tentative="0">
      <w:start w:val="1"/>
      <w:numFmt w:val="none"/>
      <w:pStyle w:val="144"/>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7A48DA5F"/>
    <w:multiLevelType w:val="singleLevel"/>
    <w:tmpl w:val="7A48DA5F"/>
    <w:lvl w:ilvl="0" w:tentative="0">
      <w:start w:val="1"/>
      <w:numFmt w:val="lowerLetter"/>
      <w:suff w:val="space"/>
      <w:lvlText w:val="%1)"/>
      <w:lvlJc w:val="left"/>
    </w:lvl>
  </w:abstractNum>
  <w:num w:numId="1">
    <w:abstractNumId w:val="0"/>
  </w:num>
  <w:num w:numId="2">
    <w:abstractNumId w:val="28"/>
  </w:num>
  <w:num w:numId="3">
    <w:abstractNumId w:val="5"/>
  </w:num>
  <w:num w:numId="4">
    <w:abstractNumId w:val="24"/>
  </w:num>
  <w:num w:numId="5">
    <w:abstractNumId w:val="19"/>
  </w:num>
  <w:num w:numId="6">
    <w:abstractNumId w:val="13"/>
  </w:num>
  <w:num w:numId="7">
    <w:abstractNumId w:val="8"/>
  </w:num>
  <w:num w:numId="8">
    <w:abstractNumId w:val="3"/>
  </w:num>
  <w:num w:numId="9">
    <w:abstractNumId w:val="9"/>
  </w:num>
  <w:num w:numId="10">
    <w:abstractNumId w:val="17"/>
  </w:num>
  <w:num w:numId="11">
    <w:abstractNumId w:val="26"/>
  </w:num>
  <w:num w:numId="12">
    <w:abstractNumId w:val="11"/>
  </w:num>
  <w:num w:numId="13">
    <w:abstractNumId w:val="12"/>
  </w:num>
  <w:num w:numId="14">
    <w:abstractNumId w:val="7"/>
  </w:num>
  <w:num w:numId="15">
    <w:abstractNumId w:val="20"/>
  </w:num>
  <w:num w:numId="16">
    <w:abstractNumId w:val="22"/>
  </w:num>
  <w:num w:numId="17">
    <w:abstractNumId w:val="18"/>
  </w:num>
  <w:num w:numId="18">
    <w:abstractNumId w:val="30"/>
  </w:num>
  <w:num w:numId="19">
    <w:abstractNumId w:val="16"/>
  </w:num>
  <w:num w:numId="20">
    <w:abstractNumId w:val="1"/>
  </w:num>
  <w:num w:numId="21">
    <w:abstractNumId w:val="10"/>
  </w:num>
  <w:num w:numId="22">
    <w:abstractNumId w:val="31"/>
  </w:num>
  <w:num w:numId="23">
    <w:abstractNumId w:val="21"/>
  </w:num>
  <w:num w:numId="24">
    <w:abstractNumId w:val="6"/>
  </w:num>
  <w:num w:numId="25">
    <w:abstractNumId w:val="27"/>
  </w:num>
  <w:num w:numId="26">
    <w:abstractNumId w:val="29"/>
  </w:num>
  <w:num w:numId="27">
    <w:abstractNumId w:val="2"/>
  </w:num>
  <w:num w:numId="28">
    <w:abstractNumId w:val="4"/>
  </w:num>
  <w:num w:numId="29">
    <w:abstractNumId w:val="14"/>
  </w:num>
  <w:num w:numId="30">
    <w:abstractNumId w:val="25"/>
  </w:num>
  <w:num w:numId="31">
    <w:abstractNumId w:val="23"/>
  </w:num>
  <w:num w:numId="32">
    <w:abstractNumId w:val="15"/>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attachedTemplate r:id="rId1"/>
  <w:documentProtection w:edit="forms"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D85"/>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365ED"/>
    <w:rsid w:val="0004249A"/>
    <w:rsid w:val="00042C8C"/>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1CFC"/>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795"/>
    <w:rsid w:val="000D329A"/>
    <w:rsid w:val="000D4B9C"/>
    <w:rsid w:val="000D4EB6"/>
    <w:rsid w:val="000D753B"/>
    <w:rsid w:val="000E2D85"/>
    <w:rsid w:val="000E4C9E"/>
    <w:rsid w:val="000E6FD7"/>
    <w:rsid w:val="000E7144"/>
    <w:rsid w:val="000F06E1"/>
    <w:rsid w:val="000F0E3C"/>
    <w:rsid w:val="000F19D5"/>
    <w:rsid w:val="000F4050"/>
    <w:rsid w:val="000F4AEA"/>
    <w:rsid w:val="000F67E9"/>
    <w:rsid w:val="00104926"/>
    <w:rsid w:val="00113B1E"/>
    <w:rsid w:val="00114A2D"/>
    <w:rsid w:val="0011711C"/>
    <w:rsid w:val="00124E4F"/>
    <w:rsid w:val="001260B7"/>
    <w:rsid w:val="001265CB"/>
    <w:rsid w:val="001321C6"/>
    <w:rsid w:val="001325C4"/>
    <w:rsid w:val="00133010"/>
    <w:rsid w:val="001338EE"/>
    <w:rsid w:val="00133AAE"/>
    <w:rsid w:val="00135323"/>
    <w:rsid w:val="001356C4"/>
    <w:rsid w:val="00137565"/>
    <w:rsid w:val="00141114"/>
    <w:rsid w:val="00142969"/>
    <w:rsid w:val="001446C2"/>
    <w:rsid w:val="001457E7"/>
    <w:rsid w:val="00145D9D"/>
    <w:rsid w:val="00146388"/>
    <w:rsid w:val="001529E5"/>
    <w:rsid w:val="00152FB3"/>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87A0B"/>
    <w:rsid w:val="00190087"/>
    <w:rsid w:val="001913C4"/>
    <w:rsid w:val="0019348F"/>
    <w:rsid w:val="00193A07"/>
    <w:rsid w:val="00194C95"/>
    <w:rsid w:val="00195C34"/>
    <w:rsid w:val="00196EF5"/>
    <w:rsid w:val="001A1A53"/>
    <w:rsid w:val="001A234A"/>
    <w:rsid w:val="001A4CF3"/>
    <w:rsid w:val="001A6696"/>
    <w:rsid w:val="001B06E8"/>
    <w:rsid w:val="001B71D0"/>
    <w:rsid w:val="001B71EE"/>
    <w:rsid w:val="001C04A8"/>
    <w:rsid w:val="001C2C03"/>
    <w:rsid w:val="001C42F7"/>
    <w:rsid w:val="001C49E5"/>
    <w:rsid w:val="001C680C"/>
    <w:rsid w:val="001C7FEA"/>
    <w:rsid w:val="001D0499"/>
    <w:rsid w:val="001D0BBE"/>
    <w:rsid w:val="001D0ED4"/>
    <w:rsid w:val="001D2033"/>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0333"/>
    <w:rsid w:val="0020107D"/>
    <w:rsid w:val="00202AA4"/>
    <w:rsid w:val="002031F7"/>
    <w:rsid w:val="002040E6"/>
    <w:rsid w:val="0020527B"/>
    <w:rsid w:val="00205F2C"/>
    <w:rsid w:val="00210B15"/>
    <w:rsid w:val="002142EA"/>
    <w:rsid w:val="00215ADD"/>
    <w:rsid w:val="002204BB"/>
    <w:rsid w:val="00221B79"/>
    <w:rsid w:val="00221C6B"/>
    <w:rsid w:val="002253A1"/>
    <w:rsid w:val="00225CF8"/>
    <w:rsid w:val="0022794E"/>
    <w:rsid w:val="00233D64"/>
    <w:rsid w:val="0023482A"/>
    <w:rsid w:val="002359CB"/>
    <w:rsid w:val="00243540"/>
    <w:rsid w:val="0024497B"/>
    <w:rsid w:val="0024515B"/>
    <w:rsid w:val="00246021"/>
    <w:rsid w:val="0024666E"/>
    <w:rsid w:val="00247F52"/>
    <w:rsid w:val="00250B25"/>
    <w:rsid w:val="00250BBE"/>
    <w:rsid w:val="002515C2"/>
    <w:rsid w:val="0025194F"/>
    <w:rsid w:val="0026148A"/>
    <w:rsid w:val="00262696"/>
    <w:rsid w:val="00263D25"/>
    <w:rsid w:val="002643C3"/>
    <w:rsid w:val="00264A0C"/>
    <w:rsid w:val="00266EEB"/>
    <w:rsid w:val="00267EF4"/>
    <w:rsid w:val="00270BE1"/>
    <w:rsid w:val="00270CB8"/>
    <w:rsid w:val="00272B08"/>
    <w:rsid w:val="00281BB8"/>
    <w:rsid w:val="00281E9E"/>
    <w:rsid w:val="00282405"/>
    <w:rsid w:val="00285170"/>
    <w:rsid w:val="00285361"/>
    <w:rsid w:val="00292D60"/>
    <w:rsid w:val="00293B3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1FA5"/>
    <w:rsid w:val="002C3F07"/>
    <w:rsid w:val="002C5278"/>
    <w:rsid w:val="002C7EBB"/>
    <w:rsid w:val="002D06C1"/>
    <w:rsid w:val="002D42B5"/>
    <w:rsid w:val="002D4F1A"/>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58D"/>
    <w:rsid w:val="00322E62"/>
    <w:rsid w:val="00324D13"/>
    <w:rsid w:val="00324EDD"/>
    <w:rsid w:val="003331E4"/>
    <w:rsid w:val="00336C64"/>
    <w:rsid w:val="00337162"/>
    <w:rsid w:val="0034194F"/>
    <w:rsid w:val="00344605"/>
    <w:rsid w:val="003474AA"/>
    <w:rsid w:val="00350D1D"/>
    <w:rsid w:val="00352C83"/>
    <w:rsid w:val="00352F1A"/>
    <w:rsid w:val="0036107C"/>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1D1"/>
    <w:rsid w:val="003A1582"/>
    <w:rsid w:val="003A3D9C"/>
    <w:rsid w:val="003A4077"/>
    <w:rsid w:val="003A4AA7"/>
    <w:rsid w:val="003B09AD"/>
    <w:rsid w:val="003B1F18"/>
    <w:rsid w:val="003B5BF0"/>
    <w:rsid w:val="003B60BF"/>
    <w:rsid w:val="003B6BE3"/>
    <w:rsid w:val="003C010C"/>
    <w:rsid w:val="003C0A6C"/>
    <w:rsid w:val="003C14F8"/>
    <w:rsid w:val="003C5A43"/>
    <w:rsid w:val="003D0519"/>
    <w:rsid w:val="003D0FF6"/>
    <w:rsid w:val="003D262C"/>
    <w:rsid w:val="003D6D61"/>
    <w:rsid w:val="003E019F"/>
    <w:rsid w:val="003E091D"/>
    <w:rsid w:val="003E1C53"/>
    <w:rsid w:val="003E2A69"/>
    <w:rsid w:val="003E2D49"/>
    <w:rsid w:val="003E2FD4"/>
    <w:rsid w:val="003E49F6"/>
    <w:rsid w:val="003E660F"/>
    <w:rsid w:val="003F0841"/>
    <w:rsid w:val="003F23CE"/>
    <w:rsid w:val="003F23D3"/>
    <w:rsid w:val="003F3F08"/>
    <w:rsid w:val="003F49F1"/>
    <w:rsid w:val="003F6272"/>
    <w:rsid w:val="00400E72"/>
    <w:rsid w:val="00401400"/>
    <w:rsid w:val="00404869"/>
    <w:rsid w:val="00405884"/>
    <w:rsid w:val="00407D39"/>
    <w:rsid w:val="00412D40"/>
    <w:rsid w:val="0041477A"/>
    <w:rsid w:val="004167A3"/>
    <w:rsid w:val="00432DAA"/>
    <w:rsid w:val="00434305"/>
    <w:rsid w:val="00435DF7"/>
    <w:rsid w:val="0043741A"/>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5E4"/>
    <w:rsid w:val="00490A89"/>
    <w:rsid w:val="00490AB4"/>
    <w:rsid w:val="00492F02"/>
    <w:rsid w:val="004939AE"/>
    <w:rsid w:val="00494CC8"/>
    <w:rsid w:val="004A12DF"/>
    <w:rsid w:val="004A1BA8"/>
    <w:rsid w:val="004A4B57"/>
    <w:rsid w:val="004A63FA"/>
    <w:rsid w:val="004A6A3D"/>
    <w:rsid w:val="004B0272"/>
    <w:rsid w:val="004B2701"/>
    <w:rsid w:val="004B2E1B"/>
    <w:rsid w:val="004B3AA8"/>
    <w:rsid w:val="004B3E93"/>
    <w:rsid w:val="004C1FBC"/>
    <w:rsid w:val="004C25A2"/>
    <w:rsid w:val="004C3F1D"/>
    <w:rsid w:val="004C458D"/>
    <w:rsid w:val="004C7556"/>
    <w:rsid w:val="004C7E8B"/>
    <w:rsid w:val="004C7E9D"/>
    <w:rsid w:val="004C7F67"/>
    <w:rsid w:val="004D076D"/>
    <w:rsid w:val="004D0EF1"/>
    <w:rsid w:val="004D2253"/>
    <w:rsid w:val="004D4406"/>
    <w:rsid w:val="004D51D8"/>
    <w:rsid w:val="004D7C42"/>
    <w:rsid w:val="004E0465"/>
    <w:rsid w:val="004E127B"/>
    <w:rsid w:val="004E1C0A"/>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220EC"/>
    <w:rsid w:val="00523F95"/>
    <w:rsid w:val="00524D65"/>
    <w:rsid w:val="00525746"/>
    <w:rsid w:val="00525B16"/>
    <w:rsid w:val="00533D04"/>
    <w:rsid w:val="00534804"/>
    <w:rsid w:val="00534BDF"/>
    <w:rsid w:val="005354EA"/>
    <w:rsid w:val="0053585F"/>
    <w:rsid w:val="00535EC4"/>
    <w:rsid w:val="00535ED9"/>
    <w:rsid w:val="0053692B"/>
    <w:rsid w:val="00541853"/>
    <w:rsid w:val="00543BDA"/>
    <w:rsid w:val="005441CC"/>
    <w:rsid w:val="005479DA"/>
    <w:rsid w:val="00547BCC"/>
    <w:rsid w:val="0055013B"/>
    <w:rsid w:val="00551F6F"/>
    <w:rsid w:val="00555044"/>
    <w:rsid w:val="00561475"/>
    <w:rsid w:val="00562308"/>
    <w:rsid w:val="005627F5"/>
    <w:rsid w:val="0056487B"/>
    <w:rsid w:val="00564FB9"/>
    <w:rsid w:val="00573D9E"/>
    <w:rsid w:val="005801E3"/>
    <w:rsid w:val="00581802"/>
    <w:rsid w:val="005836A8"/>
    <w:rsid w:val="0058409C"/>
    <w:rsid w:val="00584262"/>
    <w:rsid w:val="00586630"/>
    <w:rsid w:val="00587ADD"/>
    <w:rsid w:val="00593A49"/>
    <w:rsid w:val="00594EF0"/>
    <w:rsid w:val="00596160"/>
    <w:rsid w:val="005966E2"/>
    <w:rsid w:val="00597007"/>
    <w:rsid w:val="005A0966"/>
    <w:rsid w:val="005A11B7"/>
    <w:rsid w:val="005A260B"/>
    <w:rsid w:val="005A4A1B"/>
    <w:rsid w:val="005A7830"/>
    <w:rsid w:val="005A7FCE"/>
    <w:rsid w:val="005B0F3F"/>
    <w:rsid w:val="005B161B"/>
    <w:rsid w:val="005B191C"/>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34CA"/>
    <w:rsid w:val="005E3C18"/>
    <w:rsid w:val="005E4250"/>
    <w:rsid w:val="005E6812"/>
    <w:rsid w:val="005E7881"/>
    <w:rsid w:val="005E78E0"/>
    <w:rsid w:val="005F0D9C"/>
    <w:rsid w:val="005F284E"/>
    <w:rsid w:val="006015CE"/>
    <w:rsid w:val="00601EEA"/>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879D7"/>
    <w:rsid w:val="00693962"/>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976"/>
    <w:rsid w:val="006C6DD0"/>
    <w:rsid w:val="006D04EA"/>
    <w:rsid w:val="006D16C4"/>
    <w:rsid w:val="006D3E96"/>
    <w:rsid w:val="006D4515"/>
    <w:rsid w:val="006D4BB1"/>
    <w:rsid w:val="006D6593"/>
    <w:rsid w:val="006F03A8"/>
    <w:rsid w:val="006F2ACA"/>
    <w:rsid w:val="006F2ADC"/>
    <w:rsid w:val="006F2BFE"/>
    <w:rsid w:val="006F31E9"/>
    <w:rsid w:val="006F6284"/>
    <w:rsid w:val="007002C5"/>
    <w:rsid w:val="00704387"/>
    <w:rsid w:val="00707669"/>
    <w:rsid w:val="00711CBA"/>
    <w:rsid w:val="00711FB5"/>
    <w:rsid w:val="00712A01"/>
    <w:rsid w:val="00714F58"/>
    <w:rsid w:val="00722FBF"/>
    <w:rsid w:val="00722FC2"/>
    <w:rsid w:val="00724E1B"/>
    <w:rsid w:val="00725949"/>
    <w:rsid w:val="00726C74"/>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434D"/>
    <w:rsid w:val="00755402"/>
    <w:rsid w:val="00756B26"/>
    <w:rsid w:val="00756EDF"/>
    <w:rsid w:val="007600E3"/>
    <w:rsid w:val="00765C43"/>
    <w:rsid w:val="00765EFB"/>
    <w:rsid w:val="007671CA"/>
    <w:rsid w:val="00767C61"/>
    <w:rsid w:val="0077008A"/>
    <w:rsid w:val="00773C1F"/>
    <w:rsid w:val="00774DA4"/>
    <w:rsid w:val="00776599"/>
    <w:rsid w:val="0078114B"/>
    <w:rsid w:val="00781DD2"/>
    <w:rsid w:val="00782207"/>
    <w:rsid w:val="00783ECF"/>
    <w:rsid w:val="0078413A"/>
    <w:rsid w:val="007959E8"/>
    <w:rsid w:val="00795E9C"/>
    <w:rsid w:val="007A0521"/>
    <w:rsid w:val="007A2E12"/>
    <w:rsid w:val="007A3475"/>
    <w:rsid w:val="007A41C8"/>
    <w:rsid w:val="007A54CE"/>
    <w:rsid w:val="007A5D3A"/>
    <w:rsid w:val="007A6FD9"/>
    <w:rsid w:val="007A7FFA"/>
    <w:rsid w:val="007B04EB"/>
    <w:rsid w:val="007B0D4F"/>
    <w:rsid w:val="007B5A3D"/>
    <w:rsid w:val="007B5B95"/>
    <w:rsid w:val="007B6032"/>
    <w:rsid w:val="007B68EA"/>
    <w:rsid w:val="007B7453"/>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1D19"/>
    <w:rsid w:val="00823303"/>
    <w:rsid w:val="008233B2"/>
    <w:rsid w:val="00823A9F"/>
    <w:rsid w:val="00823C85"/>
    <w:rsid w:val="00825138"/>
    <w:rsid w:val="008269DD"/>
    <w:rsid w:val="00830621"/>
    <w:rsid w:val="0083348C"/>
    <w:rsid w:val="008373D3"/>
    <w:rsid w:val="00840617"/>
    <w:rsid w:val="00840F84"/>
    <w:rsid w:val="00842A47"/>
    <w:rsid w:val="00843C13"/>
    <w:rsid w:val="00843DEF"/>
    <w:rsid w:val="008454F8"/>
    <w:rsid w:val="0085173A"/>
    <w:rsid w:val="00852EAD"/>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73B"/>
    <w:rsid w:val="008A1893"/>
    <w:rsid w:val="008A40F6"/>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6A7C"/>
    <w:rsid w:val="008D7B54"/>
    <w:rsid w:val="008E0C9D"/>
    <w:rsid w:val="008E1648"/>
    <w:rsid w:val="008E1B3E"/>
    <w:rsid w:val="008E2319"/>
    <w:rsid w:val="008E4BB6"/>
    <w:rsid w:val="008E5518"/>
    <w:rsid w:val="008E6A84"/>
    <w:rsid w:val="008E7982"/>
    <w:rsid w:val="008F0CDC"/>
    <w:rsid w:val="008F17A3"/>
    <w:rsid w:val="008F1ED3"/>
    <w:rsid w:val="008F3518"/>
    <w:rsid w:val="008F4C29"/>
    <w:rsid w:val="008F70BD"/>
    <w:rsid w:val="008F788F"/>
    <w:rsid w:val="008F7EA2"/>
    <w:rsid w:val="00902722"/>
    <w:rsid w:val="009027BC"/>
    <w:rsid w:val="009062E6"/>
    <w:rsid w:val="00911BE5"/>
    <w:rsid w:val="00913CA9"/>
    <w:rsid w:val="009145AE"/>
    <w:rsid w:val="009146CE"/>
    <w:rsid w:val="009147F4"/>
    <w:rsid w:val="00914CA7"/>
    <w:rsid w:val="00915C3E"/>
    <w:rsid w:val="009161A8"/>
    <w:rsid w:val="009245AE"/>
    <w:rsid w:val="009245F5"/>
    <w:rsid w:val="009249EC"/>
    <w:rsid w:val="009273B3"/>
    <w:rsid w:val="009305B5"/>
    <w:rsid w:val="009378DD"/>
    <w:rsid w:val="009429D5"/>
    <w:rsid w:val="00942BF1"/>
    <w:rsid w:val="00945180"/>
    <w:rsid w:val="00945428"/>
    <w:rsid w:val="0094607B"/>
    <w:rsid w:val="00953604"/>
    <w:rsid w:val="0095496B"/>
    <w:rsid w:val="00960F1E"/>
    <w:rsid w:val="009610DC"/>
    <w:rsid w:val="00961490"/>
    <w:rsid w:val="0096381A"/>
    <w:rsid w:val="00965E04"/>
    <w:rsid w:val="009674AD"/>
    <w:rsid w:val="00970CDC"/>
    <w:rsid w:val="00975727"/>
    <w:rsid w:val="00977010"/>
    <w:rsid w:val="00977D02"/>
    <w:rsid w:val="00977FF9"/>
    <w:rsid w:val="009809BB"/>
    <w:rsid w:val="0098364B"/>
    <w:rsid w:val="009908A3"/>
    <w:rsid w:val="009911AF"/>
    <w:rsid w:val="00991875"/>
    <w:rsid w:val="00991F92"/>
    <w:rsid w:val="00992985"/>
    <w:rsid w:val="00993889"/>
    <w:rsid w:val="0099551B"/>
    <w:rsid w:val="00996BD2"/>
    <w:rsid w:val="00997BF1"/>
    <w:rsid w:val="009A089C"/>
    <w:rsid w:val="009A118E"/>
    <w:rsid w:val="009A21CD"/>
    <w:rsid w:val="009A278C"/>
    <w:rsid w:val="009A2BC2"/>
    <w:rsid w:val="009A42C1"/>
    <w:rsid w:val="009A5429"/>
    <w:rsid w:val="009A72AD"/>
    <w:rsid w:val="009B09E0"/>
    <w:rsid w:val="009B0BC5"/>
    <w:rsid w:val="009B1247"/>
    <w:rsid w:val="009B6029"/>
    <w:rsid w:val="009B6971"/>
    <w:rsid w:val="009C27F1"/>
    <w:rsid w:val="009C3152"/>
    <w:rsid w:val="009C3257"/>
    <w:rsid w:val="009C4CFA"/>
    <w:rsid w:val="009C5070"/>
    <w:rsid w:val="009D112C"/>
    <w:rsid w:val="009D1385"/>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1E63"/>
    <w:rsid w:val="00A2271D"/>
    <w:rsid w:val="00A237D5"/>
    <w:rsid w:val="00A30EFC"/>
    <w:rsid w:val="00A31984"/>
    <w:rsid w:val="00A32D73"/>
    <w:rsid w:val="00A3367B"/>
    <w:rsid w:val="00A33C67"/>
    <w:rsid w:val="00A3597D"/>
    <w:rsid w:val="00A36DD1"/>
    <w:rsid w:val="00A4006C"/>
    <w:rsid w:val="00A40091"/>
    <w:rsid w:val="00A4030F"/>
    <w:rsid w:val="00A41C79"/>
    <w:rsid w:val="00A41CB5"/>
    <w:rsid w:val="00A42CDF"/>
    <w:rsid w:val="00A43EA9"/>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52D7"/>
    <w:rsid w:val="00A963F7"/>
    <w:rsid w:val="00A96AD8"/>
    <w:rsid w:val="00AA052C"/>
    <w:rsid w:val="00AA1E45"/>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2A69"/>
    <w:rsid w:val="00AE37E5"/>
    <w:rsid w:val="00AE5EB4"/>
    <w:rsid w:val="00AF0C18"/>
    <w:rsid w:val="00AF47C5"/>
    <w:rsid w:val="00AF5398"/>
    <w:rsid w:val="00B049AF"/>
    <w:rsid w:val="00B06560"/>
    <w:rsid w:val="00B07242"/>
    <w:rsid w:val="00B10534"/>
    <w:rsid w:val="00B113DB"/>
    <w:rsid w:val="00B11D8A"/>
    <w:rsid w:val="00B12981"/>
    <w:rsid w:val="00B147DD"/>
    <w:rsid w:val="00B156FD"/>
    <w:rsid w:val="00B1570A"/>
    <w:rsid w:val="00B21F61"/>
    <w:rsid w:val="00B261F1"/>
    <w:rsid w:val="00B265BC"/>
    <w:rsid w:val="00B31FB1"/>
    <w:rsid w:val="00B33952"/>
    <w:rsid w:val="00B33C5E"/>
    <w:rsid w:val="00B342F4"/>
    <w:rsid w:val="00B34369"/>
    <w:rsid w:val="00B34DC2"/>
    <w:rsid w:val="00B378E5"/>
    <w:rsid w:val="00B4346D"/>
    <w:rsid w:val="00B440F4"/>
    <w:rsid w:val="00B447A5"/>
    <w:rsid w:val="00B4654C"/>
    <w:rsid w:val="00B47293"/>
    <w:rsid w:val="00B50E50"/>
    <w:rsid w:val="00B52120"/>
    <w:rsid w:val="00B54ABC"/>
    <w:rsid w:val="00B56FBE"/>
    <w:rsid w:val="00B60ACF"/>
    <w:rsid w:val="00B62B58"/>
    <w:rsid w:val="00B65149"/>
    <w:rsid w:val="00B66567"/>
    <w:rsid w:val="00B66F52"/>
    <w:rsid w:val="00B66FE5"/>
    <w:rsid w:val="00B72880"/>
    <w:rsid w:val="00B758BF"/>
    <w:rsid w:val="00B77EC8"/>
    <w:rsid w:val="00B827A6"/>
    <w:rsid w:val="00B831CE"/>
    <w:rsid w:val="00B86677"/>
    <w:rsid w:val="00B87131"/>
    <w:rsid w:val="00B939B1"/>
    <w:rsid w:val="00B96D40"/>
    <w:rsid w:val="00B97386"/>
    <w:rsid w:val="00BA263B"/>
    <w:rsid w:val="00BA42B2"/>
    <w:rsid w:val="00BA58D4"/>
    <w:rsid w:val="00BA5B9E"/>
    <w:rsid w:val="00BA7C9A"/>
    <w:rsid w:val="00BB5F8F"/>
    <w:rsid w:val="00BB657A"/>
    <w:rsid w:val="00BC1A4E"/>
    <w:rsid w:val="00BC5DC7"/>
    <w:rsid w:val="00BC6B8B"/>
    <w:rsid w:val="00BC73D8"/>
    <w:rsid w:val="00BD52D7"/>
    <w:rsid w:val="00BD5AD2"/>
    <w:rsid w:val="00BE22F3"/>
    <w:rsid w:val="00BE5B52"/>
    <w:rsid w:val="00BE7B8D"/>
    <w:rsid w:val="00BF0993"/>
    <w:rsid w:val="00BF10A9"/>
    <w:rsid w:val="00BF1703"/>
    <w:rsid w:val="00BF231C"/>
    <w:rsid w:val="00BF51E5"/>
    <w:rsid w:val="00BF74A6"/>
    <w:rsid w:val="00C013AD"/>
    <w:rsid w:val="00C04904"/>
    <w:rsid w:val="00C056B3"/>
    <w:rsid w:val="00C103E5"/>
    <w:rsid w:val="00C13319"/>
    <w:rsid w:val="00C13EE9"/>
    <w:rsid w:val="00C21540"/>
    <w:rsid w:val="00C21906"/>
    <w:rsid w:val="00C21BFA"/>
    <w:rsid w:val="00C24C8D"/>
    <w:rsid w:val="00C25FE2"/>
    <w:rsid w:val="00C26B53"/>
    <w:rsid w:val="00C279B2"/>
    <w:rsid w:val="00C33E50"/>
    <w:rsid w:val="00C34C20"/>
    <w:rsid w:val="00C35A3E"/>
    <w:rsid w:val="00C42130"/>
    <w:rsid w:val="00C423A4"/>
    <w:rsid w:val="00C423E3"/>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947"/>
    <w:rsid w:val="00CF686F"/>
    <w:rsid w:val="00CF6E60"/>
    <w:rsid w:val="00CF7BCA"/>
    <w:rsid w:val="00D008FD"/>
    <w:rsid w:val="00D0321C"/>
    <w:rsid w:val="00D035EC"/>
    <w:rsid w:val="00D06AB1"/>
    <w:rsid w:val="00D06FC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2719"/>
    <w:rsid w:val="00D33333"/>
    <w:rsid w:val="00D352A2"/>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87BF5"/>
    <w:rsid w:val="00D90721"/>
    <w:rsid w:val="00D926D0"/>
    <w:rsid w:val="00D93030"/>
    <w:rsid w:val="00D950E1"/>
    <w:rsid w:val="00D952A6"/>
    <w:rsid w:val="00D97F99"/>
    <w:rsid w:val="00DA1E08"/>
    <w:rsid w:val="00DA24F8"/>
    <w:rsid w:val="00DA28E8"/>
    <w:rsid w:val="00DA38D3"/>
    <w:rsid w:val="00DA3932"/>
    <w:rsid w:val="00DA3AFC"/>
    <w:rsid w:val="00DA64F8"/>
    <w:rsid w:val="00DA6C15"/>
    <w:rsid w:val="00DB0258"/>
    <w:rsid w:val="00DB38EE"/>
    <w:rsid w:val="00DB498B"/>
    <w:rsid w:val="00DB66CA"/>
    <w:rsid w:val="00DB6BCA"/>
    <w:rsid w:val="00DB6F54"/>
    <w:rsid w:val="00DB73F7"/>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E01138"/>
    <w:rsid w:val="00E02DFB"/>
    <w:rsid w:val="00E030F9"/>
    <w:rsid w:val="00E0311A"/>
    <w:rsid w:val="00E03138"/>
    <w:rsid w:val="00E06404"/>
    <w:rsid w:val="00E11A85"/>
    <w:rsid w:val="00E12495"/>
    <w:rsid w:val="00E15CCD"/>
    <w:rsid w:val="00E202EF"/>
    <w:rsid w:val="00E210B5"/>
    <w:rsid w:val="00E2552F"/>
    <w:rsid w:val="00E3137A"/>
    <w:rsid w:val="00E32CCF"/>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1219"/>
    <w:rsid w:val="00E62FF9"/>
    <w:rsid w:val="00E635D6"/>
    <w:rsid w:val="00E639BC"/>
    <w:rsid w:val="00E664CC"/>
    <w:rsid w:val="00E70388"/>
    <w:rsid w:val="00E70F92"/>
    <w:rsid w:val="00E74313"/>
    <w:rsid w:val="00E74C54"/>
    <w:rsid w:val="00E77A03"/>
    <w:rsid w:val="00E822E8"/>
    <w:rsid w:val="00E82554"/>
    <w:rsid w:val="00E82606"/>
    <w:rsid w:val="00E831C1"/>
    <w:rsid w:val="00E846C8"/>
    <w:rsid w:val="00E84957"/>
    <w:rsid w:val="00E84A55"/>
    <w:rsid w:val="00E85BFF"/>
    <w:rsid w:val="00E90391"/>
    <w:rsid w:val="00E906C2"/>
    <w:rsid w:val="00E9311F"/>
    <w:rsid w:val="00E934D1"/>
    <w:rsid w:val="00E94AF0"/>
    <w:rsid w:val="00E95D13"/>
    <w:rsid w:val="00E95DD3"/>
    <w:rsid w:val="00E969D5"/>
    <w:rsid w:val="00E97B85"/>
    <w:rsid w:val="00EA58D1"/>
    <w:rsid w:val="00EA61BC"/>
    <w:rsid w:val="00EA681A"/>
    <w:rsid w:val="00EA735B"/>
    <w:rsid w:val="00EB1E69"/>
    <w:rsid w:val="00EB2086"/>
    <w:rsid w:val="00EB31ED"/>
    <w:rsid w:val="00EB5EDF"/>
    <w:rsid w:val="00EB60FE"/>
    <w:rsid w:val="00EB74DB"/>
    <w:rsid w:val="00EC5359"/>
    <w:rsid w:val="00EC562A"/>
    <w:rsid w:val="00ED067A"/>
    <w:rsid w:val="00ED2264"/>
    <w:rsid w:val="00ED2B50"/>
    <w:rsid w:val="00EE0350"/>
    <w:rsid w:val="00EE0719"/>
    <w:rsid w:val="00EE0E80"/>
    <w:rsid w:val="00EE20E8"/>
    <w:rsid w:val="00EE613F"/>
    <w:rsid w:val="00EE7295"/>
    <w:rsid w:val="00EE7869"/>
    <w:rsid w:val="00EF054A"/>
    <w:rsid w:val="00EF3235"/>
    <w:rsid w:val="00EF4ABD"/>
    <w:rsid w:val="00EF7E72"/>
    <w:rsid w:val="00F05455"/>
    <w:rsid w:val="00F06D37"/>
    <w:rsid w:val="00F07B9D"/>
    <w:rsid w:val="00F11586"/>
    <w:rsid w:val="00F1183B"/>
    <w:rsid w:val="00F11C9F"/>
    <w:rsid w:val="00F12263"/>
    <w:rsid w:val="00F1409D"/>
    <w:rsid w:val="00F14214"/>
    <w:rsid w:val="00F157A9"/>
    <w:rsid w:val="00F16F00"/>
    <w:rsid w:val="00F25BB6"/>
    <w:rsid w:val="00F26B7E"/>
    <w:rsid w:val="00F27A3B"/>
    <w:rsid w:val="00F32780"/>
    <w:rsid w:val="00F33817"/>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33BA"/>
    <w:rsid w:val="00F84FD0"/>
    <w:rsid w:val="00F859A8"/>
    <w:rsid w:val="00F86D87"/>
    <w:rsid w:val="00F9108B"/>
    <w:rsid w:val="00F91349"/>
    <w:rsid w:val="00F93A8A"/>
    <w:rsid w:val="00F95248"/>
    <w:rsid w:val="00F956A9"/>
    <w:rsid w:val="00F963ED"/>
    <w:rsid w:val="00F966CF"/>
    <w:rsid w:val="00F96CAE"/>
    <w:rsid w:val="00F97C99"/>
    <w:rsid w:val="00FA662D"/>
    <w:rsid w:val="00FA73B1"/>
    <w:rsid w:val="00FB0CB9"/>
    <w:rsid w:val="00FB231D"/>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6AC9"/>
    <w:rsid w:val="00FF730C"/>
    <w:rsid w:val="00FF73F4"/>
    <w:rsid w:val="00FF7CE4"/>
    <w:rsid w:val="00FF7E39"/>
    <w:rsid w:val="02E70A40"/>
    <w:rsid w:val="034B7DB5"/>
    <w:rsid w:val="06F56C2B"/>
    <w:rsid w:val="074A790C"/>
    <w:rsid w:val="07761D8D"/>
    <w:rsid w:val="0978425B"/>
    <w:rsid w:val="0C583B32"/>
    <w:rsid w:val="0D55289F"/>
    <w:rsid w:val="0EC94A60"/>
    <w:rsid w:val="10146EE8"/>
    <w:rsid w:val="161A3F9E"/>
    <w:rsid w:val="164B3423"/>
    <w:rsid w:val="180841A7"/>
    <w:rsid w:val="18FC1232"/>
    <w:rsid w:val="19B81AED"/>
    <w:rsid w:val="1A7D66E6"/>
    <w:rsid w:val="1C303F4D"/>
    <w:rsid w:val="222861CF"/>
    <w:rsid w:val="23F0675E"/>
    <w:rsid w:val="2975689D"/>
    <w:rsid w:val="29E543B1"/>
    <w:rsid w:val="2B265FB3"/>
    <w:rsid w:val="2C7A1CCF"/>
    <w:rsid w:val="2F3C65F9"/>
    <w:rsid w:val="31387117"/>
    <w:rsid w:val="346E6803"/>
    <w:rsid w:val="35D3648E"/>
    <w:rsid w:val="36CA637D"/>
    <w:rsid w:val="39C9085A"/>
    <w:rsid w:val="3A8404D4"/>
    <w:rsid w:val="3C4912C0"/>
    <w:rsid w:val="3DCE50EF"/>
    <w:rsid w:val="41546AD7"/>
    <w:rsid w:val="46E501D5"/>
    <w:rsid w:val="497B749A"/>
    <w:rsid w:val="4AB77724"/>
    <w:rsid w:val="4CF83380"/>
    <w:rsid w:val="4D6C0FAE"/>
    <w:rsid w:val="4E161C54"/>
    <w:rsid w:val="4F7B74BC"/>
    <w:rsid w:val="51422684"/>
    <w:rsid w:val="515F79A9"/>
    <w:rsid w:val="577949F3"/>
    <w:rsid w:val="594D7081"/>
    <w:rsid w:val="5A4F5C5A"/>
    <w:rsid w:val="5FEA17A7"/>
    <w:rsid w:val="601B069C"/>
    <w:rsid w:val="608B2761"/>
    <w:rsid w:val="60DF561A"/>
    <w:rsid w:val="61497B2C"/>
    <w:rsid w:val="63C16B56"/>
    <w:rsid w:val="66456B14"/>
    <w:rsid w:val="694E17D6"/>
    <w:rsid w:val="6B8E6784"/>
    <w:rsid w:val="6C6D165C"/>
    <w:rsid w:val="6CF25111"/>
    <w:rsid w:val="6DE10D51"/>
    <w:rsid w:val="70174317"/>
    <w:rsid w:val="71A35C7D"/>
    <w:rsid w:val="7F5A1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1"/>
    <w:qFormat/>
    <w:uiPriority w:val="0"/>
    <w:pPr>
      <w:keepNext/>
      <w:keepLines/>
      <w:spacing w:before="260" w:after="260" w:line="416" w:lineRule="auto"/>
      <w:outlineLvl w:val="2"/>
    </w:pPr>
    <w:rPr>
      <w:b/>
      <w:bCs/>
      <w:sz w:val="32"/>
      <w:szCs w:val="32"/>
    </w:rPr>
  </w:style>
  <w:style w:type="paragraph" w:styleId="5">
    <w:name w:val="heading 4"/>
    <w:basedOn w:val="1"/>
    <w:next w:val="1"/>
    <w:link w:val="4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3"/>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4"/>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5"/>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6"/>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7"/>
    <w:qFormat/>
    <w:uiPriority w:val="0"/>
    <w:pPr>
      <w:keepNext/>
      <w:keepLines/>
      <w:adjustRightInd/>
      <w:spacing w:before="240" w:after="64" w:line="320" w:lineRule="auto"/>
      <w:outlineLvl w:val="8"/>
    </w:pPr>
    <w:rPr>
      <w:rFonts w:ascii="Arial" w:hAnsi="Arial" w:eastAsia="黑体"/>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link w:val="238"/>
    <w:semiHidden/>
    <w:unhideWhenUsed/>
    <w:qFormat/>
    <w:uiPriority w:val="99"/>
    <w:pPr>
      <w:jc w:val="left"/>
    </w:pPr>
  </w:style>
  <w:style w:type="paragraph" w:styleId="14">
    <w:name w:val="Body Text"/>
    <w:basedOn w:val="1"/>
    <w:link w:val="91"/>
    <w:qFormat/>
    <w:uiPriority w:val="0"/>
    <w:pPr>
      <w:spacing w:after="120"/>
    </w:pPr>
  </w:style>
  <w:style w:type="paragraph" w:styleId="15">
    <w:name w:val="Body Text Indent"/>
    <w:basedOn w:val="1"/>
    <w:link w:val="236"/>
    <w:semiHidden/>
    <w:unhideWhenUsed/>
    <w:qFormat/>
    <w:uiPriority w:val="99"/>
    <w:pPr>
      <w:spacing w:after="120"/>
      <w:ind w:left="420" w:leftChars="200"/>
    </w:pPr>
  </w:style>
  <w:style w:type="paragraph" w:styleId="16">
    <w:name w:val="toc 5"/>
    <w:basedOn w:val="1"/>
    <w:next w:val="1"/>
    <w:autoRedefine/>
    <w:unhideWhenUsed/>
    <w:qFormat/>
    <w:uiPriority w:val="39"/>
    <w:pPr>
      <w:ind w:left="839"/>
    </w:pPr>
    <w:rPr>
      <w:rFonts w:ascii="宋体"/>
    </w:rPr>
  </w:style>
  <w:style w:type="paragraph" w:styleId="17">
    <w:name w:val="toc 3"/>
    <w:basedOn w:val="1"/>
    <w:next w:val="1"/>
    <w:autoRedefine/>
    <w:unhideWhenUsed/>
    <w:qFormat/>
    <w:uiPriority w:val="39"/>
    <w:pPr>
      <w:spacing w:line="300" w:lineRule="exact"/>
      <w:ind w:left="420"/>
    </w:pPr>
    <w:rPr>
      <w:rFonts w:ascii="宋体"/>
    </w:rPr>
  </w:style>
  <w:style w:type="paragraph" w:styleId="18">
    <w:name w:val="Balloon Text"/>
    <w:basedOn w:val="1"/>
    <w:link w:val="50"/>
    <w:semiHidden/>
    <w:unhideWhenUsed/>
    <w:qFormat/>
    <w:uiPriority w:val="99"/>
    <w:rPr>
      <w:sz w:val="18"/>
      <w:szCs w:val="18"/>
    </w:rPr>
  </w:style>
  <w:style w:type="paragraph" w:styleId="19">
    <w:name w:val="footer"/>
    <w:basedOn w:val="1"/>
    <w:link w:val="49"/>
    <w:qFormat/>
    <w:uiPriority w:val="99"/>
    <w:pPr>
      <w:tabs>
        <w:tab w:val="center" w:pos="4153"/>
        <w:tab w:val="right" w:pos="8306"/>
      </w:tabs>
      <w:adjustRightInd/>
      <w:snapToGrid w:val="0"/>
      <w:spacing w:line="240" w:lineRule="auto"/>
      <w:jc w:val="right"/>
    </w:pPr>
    <w:rPr>
      <w:rFonts w:ascii="宋体"/>
      <w:sz w:val="18"/>
      <w:szCs w:val="18"/>
    </w:rPr>
  </w:style>
  <w:style w:type="paragraph" w:styleId="20">
    <w:name w:val="header"/>
    <w:basedOn w:val="1"/>
    <w:link w:val="48"/>
    <w:qFormat/>
    <w:uiPriority w:val="99"/>
    <w:pPr>
      <w:tabs>
        <w:tab w:val="center" w:pos="4153"/>
        <w:tab w:val="right" w:pos="8306"/>
      </w:tabs>
      <w:adjustRightInd/>
      <w:snapToGrid w:val="0"/>
      <w:jc w:val="center"/>
    </w:pPr>
    <w:rPr>
      <w:sz w:val="18"/>
      <w:szCs w:val="18"/>
    </w:rPr>
  </w:style>
  <w:style w:type="paragraph" w:styleId="21">
    <w:name w:val="toc 1"/>
    <w:basedOn w:val="1"/>
    <w:next w:val="1"/>
    <w:autoRedefine/>
    <w:unhideWhenUsed/>
    <w:qFormat/>
    <w:uiPriority w:val="39"/>
    <w:rPr>
      <w:rFonts w:ascii="宋体"/>
    </w:rPr>
  </w:style>
  <w:style w:type="paragraph" w:styleId="22">
    <w:name w:val="toc 4"/>
    <w:basedOn w:val="1"/>
    <w:next w:val="1"/>
    <w:autoRedefine/>
    <w:unhideWhenUsed/>
    <w:qFormat/>
    <w:uiPriority w:val="39"/>
    <w:pPr>
      <w:tabs>
        <w:tab w:val="right" w:leader="dot" w:pos="9344"/>
      </w:tabs>
      <w:spacing w:line="300" w:lineRule="exact"/>
      <w:ind w:left="629"/>
    </w:pPr>
    <w:rPr>
      <w:rFonts w:ascii="宋体"/>
    </w:rPr>
  </w:style>
  <w:style w:type="paragraph" w:styleId="23">
    <w:name w:val="footnote text"/>
    <w:basedOn w:val="1"/>
    <w:next w:val="1"/>
    <w:link w:val="104"/>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4">
    <w:name w:val="toc 6"/>
    <w:basedOn w:val="1"/>
    <w:next w:val="1"/>
    <w:autoRedefine/>
    <w:unhideWhenUsed/>
    <w:qFormat/>
    <w:uiPriority w:val="39"/>
    <w:pPr>
      <w:spacing w:line="300" w:lineRule="exact"/>
      <w:ind w:left="1049"/>
    </w:pPr>
    <w:rPr>
      <w:rFonts w:ascii="宋体"/>
    </w:rPr>
  </w:style>
  <w:style w:type="paragraph" w:styleId="25">
    <w:name w:val="table of figures"/>
    <w:basedOn w:val="1"/>
    <w:next w:val="1"/>
    <w:semiHidden/>
    <w:qFormat/>
    <w:uiPriority w:val="0"/>
    <w:pPr>
      <w:adjustRightInd/>
      <w:spacing w:line="240" w:lineRule="auto"/>
      <w:jc w:val="left"/>
    </w:pPr>
    <w:rPr>
      <w:szCs w:val="24"/>
    </w:rPr>
  </w:style>
  <w:style w:type="paragraph" w:styleId="26">
    <w:name w:val="toc 2"/>
    <w:basedOn w:val="1"/>
    <w:next w:val="1"/>
    <w:autoRedefine/>
    <w:unhideWhenUsed/>
    <w:qFormat/>
    <w:uiPriority w:val="39"/>
    <w:pPr>
      <w:tabs>
        <w:tab w:val="right" w:leader="dot" w:pos="9344"/>
      </w:tabs>
      <w:spacing w:line="300" w:lineRule="exact"/>
      <w:ind w:left="210"/>
    </w:pPr>
    <w:rPr>
      <w:rFonts w:ascii="宋体"/>
    </w:rPr>
  </w:style>
  <w:style w:type="paragraph" w:styleId="2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8">
    <w:name w:val="Title"/>
    <w:basedOn w:val="1"/>
    <w:link w:val="53"/>
    <w:qFormat/>
    <w:uiPriority w:val="0"/>
    <w:pPr>
      <w:spacing w:before="240" w:after="60"/>
      <w:jc w:val="center"/>
      <w:outlineLvl w:val="0"/>
    </w:pPr>
    <w:rPr>
      <w:rFonts w:ascii="Arial" w:hAnsi="Arial" w:cs="Arial"/>
      <w:b/>
      <w:bCs/>
      <w:sz w:val="32"/>
      <w:szCs w:val="32"/>
    </w:rPr>
  </w:style>
  <w:style w:type="paragraph" w:styleId="29">
    <w:name w:val="annotation subject"/>
    <w:basedOn w:val="13"/>
    <w:next w:val="13"/>
    <w:link w:val="239"/>
    <w:semiHidden/>
    <w:unhideWhenUsed/>
    <w:qFormat/>
    <w:uiPriority w:val="99"/>
    <w:rPr>
      <w:b/>
      <w:bCs/>
    </w:rPr>
  </w:style>
  <w:style w:type="table" w:styleId="31">
    <w:name w:val="Table Grid"/>
    <w:basedOn w:val="3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22"/>
    <w:rPr>
      <w:b/>
      <w:bCs/>
    </w:rPr>
  </w:style>
  <w:style w:type="character" w:styleId="34">
    <w:name w:val="page number"/>
    <w:qFormat/>
    <w:uiPriority w:val="0"/>
    <w:rPr>
      <w:rFonts w:ascii="宋体" w:hAnsi="Times New Roman" w:eastAsia="宋体"/>
      <w:sz w:val="18"/>
    </w:rPr>
  </w:style>
  <w:style w:type="character" w:styleId="35">
    <w:name w:val="Emphasis"/>
    <w:qFormat/>
    <w:uiPriority w:val="20"/>
    <w:rPr>
      <w:i/>
      <w:iCs/>
    </w:rPr>
  </w:style>
  <w:style w:type="character" w:styleId="36">
    <w:name w:val="Hyperlink"/>
    <w:basedOn w:val="32"/>
    <w:qFormat/>
    <w:uiPriority w:val="99"/>
    <w:rPr>
      <w:rFonts w:ascii="宋体" w:hAnsi="Times New Roman" w:eastAsia="宋体"/>
      <w:color w:val="auto"/>
      <w:spacing w:val="0"/>
      <w:w w:val="100"/>
      <w:position w:val="0"/>
      <w:sz w:val="21"/>
      <w:u w:val="none"/>
      <w:vertAlign w:val="baseline"/>
    </w:rPr>
  </w:style>
  <w:style w:type="character" w:styleId="37">
    <w:name w:val="annotation reference"/>
    <w:basedOn w:val="32"/>
    <w:semiHidden/>
    <w:unhideWhenUsed/>
    <w:qFormat/>
    <w:uiPriority w:val="99"/>
    <w:rPr>
      <w:sz w:val="21"/>
      <w:szCs w:val="21"/>
    </w:rPr>
  </w:style>
  <w:style w:type="character" w:styleId="38">
    <w:name w:val="footnote reference"/>
    <w:semiHidden/>
    <w:qFormat/>
    <w:uiPriority w:val="0"/>
    <w:rPr>
      <w:rFonts w:ascii="宋体" w:hAnsi="宋体" w:eastAsia="宋体" w:cs="Times New Roman"/>
      <w:spacing w:val="0"/>
      <w:sz w:val="18"/>
      <w:vertAlign w:val="superscript"/>
    </w:rPr>
  </w:style>
  <w:style w:type="character" w:customStyle="1" w:styleId="39">
    <w:name w:val="标题 1 Char"/>
    <w:link w:val="2"/>
    <w:qFormat/>
    <w:uiPriority w:val="0"/>
    <w:rPr>
      <w:b/>
      <w:bCs/>
      <w:kern w:val="44"/>
      <w:sz w:val="44"/>
      <w:szCs w:val="44"/>
    </w:rPr>
  </w:style>
  <w:style w:type="character" w:customStyle="1" w:styleId="40">
    <w:name w:val="标题 2 Char"/>
    <w:link w:val="3"/>
    <w:qFormat/>
    <w:uiPriority w:val="0"/>
    <w:rPr>
      <w:rFonts w:ascii="Arial" w:hAnsi="Arial" w:eastAsia="黑体"/>
      <w:b/>
      <w:bCs/>
      <w:kern w:val="2"/>
      <w:sz w:val="32"/>
      <w:szCs w:val="32"/>
    </w:rPr>
  </w:style>
  <w:style w:type="character" w:customStyle="1" w:styleId="41">
    <w:name w:val="标题 3 Char"/>
    <w:link w:val="4"/>
    <w:qFormat/>
    <w:uiPriority w:val="0"/>
    <w:rPr>
      <w:b/>
      <w:bCs/>
      <w:kern w:val="2"/>
      <w:sz w:val="32"/>
      <w:szCs w:val="32"/>
    </w:rPr>
  </w:style>
  <w:style w:type="character" w:customStyle="1" w:styleId="42">
    <w:name w:val="标题 4 Char"/>
    <w:link w:val="5"/>
    <w:qFormat/>
    <w:uiPriority w:val="0"/>
    <w:rPr>
      <w:rFonts w:ascii="Arial" w:hAnsi="Arial" w:eastAsia="黑体"/>
      <w:b/>
      <w:bCs/>
      <w:kern w:val="2"/>
      <w:sz w:val="28"/>
      <w:szCs w:val="28"/>
    </w:rPr>
  </w:style>
  <w:style w:type="character" w:customStyle="1" w:styleId="43">
    <w:name w:val="标题 5 Char"/>
    <w:link w:val="6"/>
    <w:qFormat/>
    <w:uiPriority w:val="0"/>
    <w:rPr>
      <w:b/>
      <w:bCs/>
      <w:kern w:val="2"/>
      <w:sz w:val="28"/>
      <w:szCs w:val="28"/>
    </w:rPr>
  </w:style>
  <w:style w:type="character" w:customStyle="1" w:styleId="44">
    <w:name w:val="标题 6 Char"/>
    <w:link w:val="7"/>
    <w:qFormat/>
    <w:uiPriority w:val="0"/>
    <w:rPr>
      <w:rFonts w:ascii="Arial" w:hAnsi="Arial" w:eastAsia="黑体"/>
      <w:b/>
      <w:bCs/>
      <w:kern w:val="2"/>
      <w:sz w:val="24"/>
      <w:szCs w:val="24"/>
    </w:rPr>
  </w:style>
  <w:style w:type="character" w:customStyle="1" w:styleId="45">
    <w:name w:val="标题 7 Char"/>
    <w:link w:val="8"/>
    <w:qFormat/>
    <w:uiPriority w:val="0"/>
    <w:rPr>
      <w:b/>
      <w:bCs/>
      <w:kern w:val="2"/>
      <w:sz w:val="24"/>
      <w:szCs w:val="24"/>
    </w:rPr>
  </w:style>
  <w:style w:type="character" w:customStyle="1" w:styleId="46">
    <w:name w:val="标题 8 Char"/>
    <w:link w:val="9"/>
    <w:qFormat/>
    <w:uiPriority w:val="0"/>
    <w:rPr>
      <w:rFonts w:ascii="Arial" w:hAnsi="Arial" w:eastAsia="黑体"/>
      <w:kern w:val="2"/>
      <w:sz w:val="24"/>
      <w:szCs w:val="24"/>
    </w:rPr>
  </w:style>
  <w:style w:type="character" w:customStyle="1" w:styleId="47">
    <w:name w:val="标题 9 Char"/>
    <w:link w:val="10"/>
    <w:qFormat/>
    <w:uiPriority w:val="0"/>
    <w:rPr>
      <w:rFonts w:ascii="Arial" w:hAnsi="Arial" w:eastAsia="黑体"/>
      <w:kern w:val="2"/>
      <w:sz w:val="21"/>
      <w:szCs w:val="21"/>
    </w:rPr>
  </w:style>
  <w:style w:type="character" w:customStyle="1" w:styleId="48">
    <w:name w:val="页眉 Char"/>
    <w:link w:val="20"/>
    <w:qFormat/>
    <w:uiPriority w:val="99"/>
    <w:rPr>
      <w:kern w:val="2"/>
      <w:sz w:val="18"/>
      <w:szCs w:val="18"/>
    </w:rPr>
  </w:style>
  <w:style w:type="character" w:customStyle="1" w:styleId="49">
    <w:name w:val="页脚 Char"/>
    <w:link w:val="19"/>
    <w:qFormat/>
    <w:uiPriority w:val="99"/>
    <w:rPr>
      <w:rFonts w:ascii="宋体"/>
      <w:kern w:val="2"/>
      <w:sz w:val="18"/>
      <w:szCs w:val="18"/>
    </w:rPr>
  </w:style>
  <w:style w:type="character" w:customStyle="1" w:styleId="50">
    <w:name w:val="批注框文本 Char"/>
    <w:link w:val="18"/>
    <w:semiHidden/>
    <w:qFormat/>
    <w:uiPriority w:val="99"/>
    <w:rPr>
      <w:kern w:val="2"/>
      <w:sz w:val="18"/>
      <w:szCs w:val="18"/>
    </w:rPr>
  </w:style>
  <w:style w:type="paragraph" w:styleId="51">
    <w:name w:val="Quote"/>
    <w:basedOn w:val="1"/>
    <w:next w:val="1"/>
    <w:link w:val="52"/>
    <w:qFormat/>
    <w:uiPriority w:val="29"/>
    <w:rPr>
      <w:i/>
      <w:iCs/>
      <w:color w:val="000000"/>
    </w:rPr>
  </w:style>
  <w:style w:type="character" w:customStyle="1" w:styleId="52">
    <w:name w:val="引用 Char"/>
    <w:link w:val="51"/>
    <w:qFormat/>
    <w:uiPriority w:val="29"/>
    <w:rPr>
      <w:i/>
      <w:iCs/>
      <w:color w:val="000000"/>
      <w:kern w:val="2"/>
      <w:sz w:val="21"/>
      <w:szCs w:val="21"/>
    </w:rPr>
  </w:style>
  <w:style w:type="character" w:customStyle="1" w:styleId="53">
    <w:name w:val="标题 Char"/>
    <w:link w:val="28"/>
    <w:qFormat/>
    <w:uiPriority w:val="0"/>
    <w:rPr>
      <w:rFonts w:ascii="Arial" w:hAnsi="Arial" w:cs="Arial"/>
      <w:b/>
      <w:bCs/>
      <w:kern w:val="2"/>
      <w:sz w:val="32"/>
      <w:szCs w:val="32"/>
    </w:rPr>
  </w:style>
  <w:style w:type="paragraph" w:customStyle="1" w:styleId="54">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6">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7">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8">
    <w:name w:val="标准书眉一"/>
    <w:qFormat/>
    <w:uiPriority w:val="0"/>
    <w:pPr>
      <w:jc w:val="both"/>
    </w:pPr>
    <w:rPr>
      <w:rFonts w:ascii="Times New Roman" w:hAnsi="Times New Roman" w:eastAsia="宋体" w:cs="Times New Roman"/>
      <w:lang w:val="en-US" w:eastAsia="zh-CN" w:bidi="ar-SA"/>
    </w:rPr>
  </w:style>
  <w:style w:type="paragraph" w:customStyle="1" w:styleId="59">
    <w:name w:val="标准文件_ICS"/>
    <w:basedOn w:val="1"/>
    <w:qFormat/>
    <w:uiPriority w:val="0"/>
    <w:pPr>
      <w:spacing w:line="0" w:lineRule="atLeast"/>
    </w:pPr>
    <w:rPr>
      <w:rFonts w:ascii="黑体" w:hAnsi="宋体" w:eastAsia="黑体"/>
    </w:rPr>
  </w:style>
  <w:style w:type="paragraph" w:customStyle="1" w:styleId="60">
    <w:name w:val="标准文件_标准正文"/>
    <w:basedOn w:val="1"/>
    <w:next w:val="61"/>
    <w:qFormat/>
    <w:uiPriority w:val="0"/>
    <w:pPr>
      <w:snapToGrid w:val="0"/>
      <w:ind w:firstLine="200" w:firstLineChars="200"/>
    </w:pPr>
    <w:rPr>
      <w:kern w:val="0"/>
    </w:rPr>
  </w:style>
  <w:style w:type="paragraph" w:customStyle="1" w:styleId="61">
    <w:name w:val="标准文件_段"/>
    <w:link w:val="189"/>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2">
    <w:name w:val="标准文件_版本"/>
    <w:basedOn w:val="60"/>
    <w:qFormat/>
    <w:uiPriority w:val="0"/>
    <w:pPr>
      <w:adjustRightInd/>
      <w:snapToGrid/>
      <w:ind w:firstLine="0" w:firstLineChars="0"/>
    </w:pPr>
    <w:rPr>
      <w:rFonts w:ascii="宋体" w:hAnsi="宋体"/>
      <w:kern w:val="2"/>
    </w:rPr>
  </w:style>
  <w:style w:type="paragraph" w:customStyle="1" w:styleId="63">
    <w:name w:val="标准文件_标准部门"/>
    <w:basedOn w:val="1"/>
    <w:qFormat/>
    <w:uiPriority w:val="0"/>
    <w:pPr>
      <w:jc w:val="center"/>
    </w:pPr>
    <w:rPr>
      <w:rFonts w:ascii="黑体" w:eastAsia="黑体"/>
      <w:kern w:val="0"/>
      <w:sz w:val="44"/>
    </w:rPr>
  </w:style>
  <w:style w:type="paragraph" w:customStyle="1" w:styleId="64">
    <w:name w:val="标准文件_标准代替"/>
    <w:basedOn w:val="1"/>
    <w:next w:val="1"/>
    <w:qFormat/>
    <w:uiPriority w:val="0"/>
    <w:pPr>
      <w:spacing w:line="310" w:lineRule="exact"/>
      <w:jc w:val="right"/>
    </w:pPr>
    <w:rPr>
      <w:rFonts w:ascii="宋体" w:hAnsi="宋体"/>
      <w:kern w:val="0"/>
    </w:rPr>
  </w:style>
  <w:style w:type="paragraph" w:customStyle="1" w:styleId="65">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6">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7">
    <w:name w:val="标准文件_页眉偶数页"/>
    <w:basedOn w:val="66"/>
    <w:next w:val="1"/>
    <w:qFormat/>
    <w:uiPriority w:val="0"/>
    <w:pPr>
      <w:jc w:val="left"/>
    </w:pPr>
  </w:style>
  <w:style w:type="paragraph" w:customStyle="1" w:styleId="68">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9">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70">
    <w:name w:val="标准文件_二级条标题"/>
    <w:next w:val="61"/>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71">
    <w:name w:val="标准文件_发布"/>
    <w:qFormat/>
    <w:uiPriority w:val="0"/>
    <w:rPr>
      <w:rFonts w:ascii="黑体" w:eastAsia="黑体"/>
      <w:spacing w:val="0"/>
      <w:w w:val="100"/>
      <w:position w:val="3"/>
      <w:sz w:val="28"/>
    </w:rPr>
  </w:style>
  <w:style w:type="paragraph" w:customStyle="1" w:styleId="72">
    <w:name w:val="标准文件_方框数字列项"/>
    <w:basedOn w:val="61"/>
    <w:qFormat/>
    <w:uiPriority w:val="0"/>
    <w:pPr>
      <w:numPr>
        <w:ilvl w:val="0"/>
        <w:numId w:val="3"/>
      </w:numPr>
      <w:ind w:firstLine="0" w:firstLineChars="0"/>
    </w:pPr>
  </w:style>
  <w:style w:type="paragraph" w:customStyle="1" w:styleId="73">
    <w:name w:val="标准文件_封面标准编号"/>
    <w:basedOn w:val="1"/>
    <w:next w:val="64"/>
    <w:qFormat/>
    <w:uiPriority w:val="0"/>
    <w:pPr>
      <w:spacing w:line="310" w:lineRule="exact"/>
      <w:jc w:val="right"/>
    </w:pPr>
    <w:rPr>
      <w:rFonts w:ascii="黑体" w:eastAsia="黑体"/>
      <w:kern w:val="0"/>
      <w:sz w:val="28"/>
    </w:rPr>
  </w:style>
  <w:style w:type="paragraph" w:customStyle="1" w:styleId="74">
    <w:name w:val="标准文件_封面标准分类号"/>
    <w:basedOn w:val="1"/>
    <w:qFormat/>
    <w:uiPriority w:val="0"/>
    <w:rPr>
      <w:rFonts w:ascii="黑体" w:eastAsia="黑体"/>
      <w:b/>
      <w:kern w:val="0"/>
      <w:sz w:val="28"/>
    </w:rPr>
  </w:style>
  <w:style w:type="paragraph" w:customStyle="1" w:styleId="75">
    <w:name w:val="标准文件_封面标准名称"/>
    <w:basedOn w:val="1"/>
    <w:qFormat/>
    <w:uiPriority w:val="0"/>
    <w:pPr>
      <w:spacing w:line="240" w:lineRule="auto"/>
      <w:jc w:val="center"/>
    </w:pPr>
    <w:rPr>
      <w:rFonts w:ascii="黑体" w:eastAsia="黑体"/>
      <w:kern w:val="0"/>
      <w:sz w:val="52"/>
    </w:rPr>
  </w:style>
  <w:style w:type="paragraph" w:customStyle="1" w:styleId="76">
    <w:name w:val="标准文件_封面标准英文名称"/>
    <w:basedOn w:val="1"/>
    <w:qFormat/>
    <w:uiPriority w:val="0"/>
    <w:pPr>
      <w:spacing w:line="240" w:lineRule="auto"/>
      <w:jc w:val="center"/>
    </w:pPr>
    <w:rPr>
      <w:rFonts w:ascii="黑体" w:eastAsia="黑体"/>
      <w:b/>
      <w:sz w:val="28"/>
    </w:rPr>
  </w:style>
  <w:style w:type="paragraph" w:customStyle="1" w:styleId="77">
    <w:name w:val="标准文件_封面发布日期"/>
    <w:basedOn w:val="1"/>
    <w:qFormat/>
    <w:uiPriority w:val="0"/>
    <w:pPr>
      <w:spacing w:line="310" w:lineRule="exact"/>
    </w:pPr>
    <w:rPr>
      <w:rFonts w:ascii="黑体" w:eastAsia="黑体"/>
      <w:kern w:val="0"/>
      <w:sz w:val="28"/>
    </w:rPr>
  </w:style>
  <w:style w:type="paragraph" w:customStyle="1" w:styleId="78">
    <w:name w:val="标准文件_封面密级"/>
    <w:basedOn w:val="1"/>
    <w:qFormat/>
    <w:uiPriority w:val="0"/>
    <w:rPr>
      <w:rFonts w:eastAsia="黑体"/>
      <w:sz w:val="32"/>
    </w:rPr>
  </w:style>
  <w:style w:type="paragraph" w:customStyle="1" w:styleId="79">
    <w:name w:val="标准文件_封面实施日期"/>
    <w:basedOn w:val="1"/>
    <w:qFormat/>
    <w:uiPriority w:val="0"/>
    <w:pPr>
      <w:spacing w:line="310" w:lineRule="exact"/>
      <w:jc w:val="right"/>
    </w:pPr>
    <w:rPr>
      <w:rFonts w:ascii="黑体" w:eastAsia="黑体"/>
      <w:sz w:val="28"/>
    </w:rPr>
  </w:style>
  <w:style w:type="paragraph" w:customStyle="1" w:styleId="80">
    <w:name w:val="标准文件_封面抬头"/>
    <w:basedOn w:val="61"/>
    <w:qFormat/>
    <w:uiPriority w:val="0"/>
    <w:pPr>
      <w:adjustRightInd w:val="0"/>
      <w:spacing w:line="800" w:lineRule="exact"/>
      <w:ind w:firstLine="0" w:firstLineChars="0"/>
      <w:jc w:val="distribute"/>
    </w:pPr>
    <w:rPr>
      <w:rFonts w:ascii="黑体" w:eastAsia="黑体"/>
      <w:b/>
      <w:sz w:val="64"/>
    </w:rPr>
  </w:style>
  <w:style w:type="paragraph" w:customStyle="1" w:styleId="81">
    <w:name w:val="标准文件_附录标识"/>
    <w:next w:val="61"/>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82">
    <w:name w:val="标准文件_附录表标题"/>
    <w:next w:val="61"/>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83">
    <w:name w:val="标准文件_附录一级条标题"/>
    <w:next w:val="61"/>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4">
    <w:name w:val="标准文件_附录二级条标题"/>
    <w:basedOn w:val="83"/>
    <w:next w:val="61"/>
    <w:qFormat/>
    <w:uiPriority w:val="0"/>
    <w:pPr>
      <w:widowControl/>
      <w:numPr>
        <w:ilvl w:val="2"/>
      </w:numPr>
      <w:wordWrap w:val="0"/>
      <w:overflowPunct w:val="0"/>
      <w:autoSpaceDE w:val="0"/>
      <w:autoSpaceDN w:val="0"/>
      <w:textAlignment w:val="baseline"/>
      <w:outlineLvl w:val="3"/>
    </w:pPr>
  </w:style>
  <w:style w:type="paragraph" w:customStyle="1" w:styleId="85">
    <w:name w:val="标准文件_附录公式"/>
    <w:basedOn w:val="60"/>
    <w:next w:val="60"/>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6">
    <w:name w:val="标准文件_附录三级条标题"/>
    <w:next w:val="61"/>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7">
    <w:name w:val="标准文件_附录四级条标题"/>
    <w:next w:val="61"/>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8">
    <w:name w:val="标准文件_附录图标题"/>
    <w:next w:val="61"/>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9">
    <w:name w:val="标准文件_附录五级条标题"/>
    <w:next w:val="61"/>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90">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91">
    <w:name w:val="正文文本 Char"/>
    <w:link w:val="14"/>
    <w:qFormat/>
    <w:uiPriority w:val="0"/>
    <w:rPr>
      <w:kern w:val="2"/>
      <w:sz w:val="21"/>
      <w:szCs w:val="21"/>
    </w:rPr>
  </w:style>
  <w:style w:type="paragraph" w:customStyle="1" w:styleId="92">
    <w:name w:val="标准文件_附录章标题"/>
    <w:next w:val="61"/>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3">
    <w:name w:val="标准文件_公式后的破折号"/>
    <w:basedOn w:val="61"/>
    <w:next w:val="61"/>
    <w:qFormat/>
    <w:uiPriority w:val="0"/>
    <w:pPr>
      <w:ind w:left="488" w:leftChars="200" w:hanging="289" w:hangingChars="290"/>
    </w:pPr>
  </w:style>
  <w:style w:type="paragraph" w:customStyle="1" w:styleId="94">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5">
    <w:name w:val="标准文件_目次、标准名称标题"/>
    <w:basedOn w:val="94"/>
    <w:next w:val="61"/>
    <w:qFormat/>
    <w:uiPriority w:val="0"/>
    <w:pPr>
      <w:spacing w:line="460" w:lineRule="exact"/>
      <w:ind w:left="0" w:firstLine="0"/>
    </w:pPr>
  </w:style>
  <w:style w:type="paragraph" w:customStyle="1" w:styleId="96">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7">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8">
    <w:name w:val="标准文件_破折号列项（二级）"/>
    <w:basedOn w:val="97"/>
    <w:qFormat/>
    <w:uiPriority w:val="0"/>
    <w:pPr>
      <w:numPr>
        <w:numId w:val="10"/>
      </w:numPr>
    </w:pPr>
  </w:style>
  <w:style w:type="paragraph" w:customStyle="1" w:styleId="99">
    <w:name w:val="标准文件_三级条标题"/>
    <w:basedOn w:val="70"/>
    <w:next w:val="61"/>
    <w:qFormat/>
    <w:uiPriority w:val="0"/>
    <w:pPr>
      <w:widowControl/>
      <w:numPr>
        <w:ilvl w:val="4"/>
      </w:numPr>
      <w:outlineLvl w:val="3"/>
    </w:pPr>
  </w:style>
  <w:style w:type="character" w:customStyle="1" w:styleId="100">
    <w:name w:val="不明显参考1"/>
    <w:qFormat/>
    <w:uiPriority w:val="31"/>
    <w:rPr>
      <w:smallCaps/>
      <w:color w:val="C0504D"/>
      <w:u w:val="single"/>
    </w:rPr>
  </w:style>
  <w:style w:type="paragraph" w:customStyle="1" w:styleId="101">
    <w:name w:val="标准文件_示例后续"/>
    <w:basedOn w:val="1"/>
    <w:qFormat/>
    <w:uiPriority w:val="0"/>
    <w:pPr>
      <w:adjustRightInd/>
      <w:spacing w:line="240" w:lineRule="auto"/>
      <w:ind w:firstLine="200" w:firstLineChars="200"/>
    </w:pPr>
    <w:rPr>
      <w:sz w:val="18"/>
      <w:szCs w:val="24"/>
    </w:rPr>
  </w:style>
  <w:style w:type="paragraph" w:customStyle="1" w:styleId="102">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3">
    <w:name w:val="标准文件_四级条标题"/>
    <w:next w:val="61"/>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4">
    <w:name w:val="脚注文本 Char"/>
    <w:link w:val="23"/>
    <w:semiHidden/>
    <w:qFormat/>
    <w:uiPriority w:val="0"/>
    <w:rPr>
      <w:rFonts w:ascii="宋体"/>
      <w:kern w:val="2"/>
      <w:sz w:val="18"/>
      <w:szCs w:val="18"/>
    </w:rPr>
  </w:style>
  <w:style w:type="paragraph" w:customStyle="1" w:styleId="105">
    <w:name w:val="标准文件_条文脚注"/>
    <w:basedOn w:val="23"/>
    <w:qFormat/>
    <w:uiPriority w:val="0"/>
    <w:pPr>
      <w:adjustRightInd w:val="0"/>
      <w:spacing w:line="240" w:lineRule="auto"/>
      <w:ind w:left="0" w:leftChars="0" w:firstLine="200" w:firstLineChars="200"/>
      <w:jc w:val="both"/>
    </w:pPr>
    <w:rPr>
      <w:rFonts w:hAnsi="宋体"/>
    </w:rPr>
  </w:style>
  <w:style w:type="paragraph" w:customStyle="1" w:styleId="106">
    <w:name w:val="标准文件_图表脚注"/>
    <w:basedOn w:val="1"/>
    <w:next w:val="61"/>
    <w:qFormat/>
    <w:uiPriority w:val="0"/>
    <w:pPr>
      <w:numPr>
        <w:ilvl w:val="0"/>
        <w:numId w:val="12"/>
      </w:numPr>
      <w:spacing w:line="240" w:lineRule="auto"/>
      <w:jc w:val="left"/>
    </w:pPr>
    <w:rPr>
      <w:rFonts w:ascii="宋体" w:hAnsi="宋体"/>
      <w:sz w:val="18"/>
    </w:rPr>
  </w:style>
  <w:style w:type="character" w:customStyle="1" w:styleId="107">
    <w:name w:val="标准文件_图表脚注内容"/>
    <w:qFormat/>
    <w:uiPriority w:val="0"/>
    <w:rPr>
      <w:rFonts w:ascii="宋体" w:hAnsi="宋体" w:eastAsia="宋体" w:cs="Times New Roman"/>
      <w:spacing w:val="0"/>
      <w:sz w:val="18"/>
      <w:vertAlign w:val="superscript"/>
    </w:rPr>
  </w:style>
  <w:style w:type="paragraph" w:customStyle="1" w:styleId="108">
    <w:name w:val="标准文件_五级条标题"/>
    <w:next w:val="61"/>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9">
    <w:name w:val="标准文件_章标题"/>
    <w:next w:val="61"/>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10">
    <w:name w:val="标准文件_一级条标题"/>
    <w:basedOn w:val="109"/>
    <w:next w:val="61"/>
    <w:qFormat/>
    <w:uiPriority w:val="0"/>
    <w:pPr>
      <w:numPr>
        <w:ilvl w:val="2"/>
      </w:numPr>
      <w:spacing w:before="50" w:beforeLines="50" w:after="50" w:afterLines="50"/>
      <w:outlineLvl w:val="1"/>
    </w:pPr>
  </w:style>
  <w:style w:type="paragraph" w:customStyle="1" w:styleId="111">
    <w:name w:val="标准文件_一致程度"/>
    <w:basedOn w:val="1"/>
    <w:qFormat/>
    <w:uiPriority w:val="0"/>
    <w:pPr>
      <w:spacing w:line="440" w:lineRule="exact"/>
      <w:jc w:val="center"/>
    </w:pPr>
    <w:rPr>
      <w:sz w:val="28"/>
    </w:rPr>
  </w:style>
  <w:style w:type="paragraph" w:customStyle="1" w:styleId="112">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3">
    <w:name w:val="标准文件_英文图表脚注"/>
    <w:basedOn w:val="60"/>
    <w:qFormat/>
    <w:uiPriority w:val="0"/>
    <w:pPr>
      <w:widowControl/>
      <w:adjustRightInd/>
      <w:snapToGrid/>
      <w:spacing w:line="240" w:lineRule="auto"/>
      <w:ind w:left="79" w:hanging="79" w:hangingChars="80"/>
    </w:pPr>
    <w:rPr>
      <w:rFonts w:ascii="宋体" w:hAnsi="宋体"/>
    </w:rPr>
  </w:style>
  <w:style w:type="paragraph" w:customStyle="1" w:styleId="114">
    <w:name w:val="标准文件_数字编号列项（二级）"/>
    <w:qFormat/>
    <w:uiPriority w:val="0"/>
    <w:pPr>
      <w:numPr>
        <w:ilvl w:val="1"/>
        <w:numId w:val="13"/>
      </w:numPr>
      <w:tabs>
        <w:tab w:val="left" w:pos="851"/>
      </w:tabs>
      <w:jc w:val="both"/>
    </w:pPr>
    <w:rPr>
      <w:rFonts w:ascii="宋体" w:hAnsi="Times New Roman" w:eastAsia="宋体" w:cs="Times New Roman"/>
      <w:sz w:val="21"/>
      <w:lang w:val="en-US" w:eastAsia="zh-CN" w:bidi="ar-SA"/>
    </w:rPr>
  </w:style>
  <w:style w:type="paragraph" w:customStyle="1" w:styleId="115">
    <w:name w:val="标准文件_英文注："/>
    <w:basedOn w:val="1"/>
    <w:next w:val="61"/>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6">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7">
    <w:name w:val="标准文件_正文表标题"/>
    <w:next w:val="61"/>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8">
    <w:name w:val="标准文件_正文公式"/>
    <w:basedOn w:val="1"/>
    <w:next w:val="60"/>
    <w:qFormat/>
    <w:uiPriority w:val="0"/>
    <w:pPr>
      <w:tabs>
        <w:tab w:val="center" w:pos="4678"/>
        <w:tab w:val="right" w:leader="middleDot" w:pos="9356"/>
      </w:tabs>
      <w:spacing w:line="240" w:lineRule="auto"/>
    </w:pPr>
    <w:rPr>
      <w:rFonts w:ascii="宋体" w:hAnsi="宋体"/>
    </w:rPr>
  </w:style>
  <w:style w:type="paragraph" w:customStyle="1" w:styleId="119">
    <w:name w:val="标准文件_正文图标题"/>
    <w:next w:val="61"/>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20">
    <w:name w:val="标准文件_正文英文表标题"/>
    <w:next w:val="61"/>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21">
    <w:name w:val="标准文件_正文英文图标题"/>
    <w:next w:val="61"/>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22">
    <w:name w:val="标准文件_编号列项（三级）"/>
    <w:qFormat/>
    <w:uiPriority w:val="0"/>
    <w:pPr>
      <w:numPr>
        <w:ilvl w:val="2"/>
        <w:numId w:val="13"/>
      </w:numPr>
      <w:tabs>
        <w:tab w:val="left" w:pos="851"/>
      </w:tabs>
    </w:pPr>
    <w:rPr>
      <w:rFonts w:ascii="宋体" w:hAnsi="Times New Roman" w:eastAsia="宋体" w:cs="Times New Roman"/>
      <w:sz w:val="21"/>
      <w:lang w:val="en-US" w:eastAsia="zh-CN" w:bidi="ar-SA"/>
    </w:rPr>
  </w:style>
  <w:style w:type="paragraph" w:customStyle="1" w:styleId="123">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4">
    <w:name w:val="发布部门"/>
    <w:next w:val="61"/>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5">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6">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9">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30">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31">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32">
    <w:name w:val="封面正文"/>
    <w:qFormat/>
    <w:uiPriority w:val="0"/>
    <w:pPr>
      <w:jc w:val="both"/>
    </w:pPr>
    <w:rPr>
      <w:rFonts w:ascii="Times New Roman" w:hAnsi="Times New Roman" w:eastAsia="宋体" w:cs="Times New Roman"/>
      <w:lang w:val="en-US" w:eastAsia="zh-CN" w:bidi="ar-SA"/>
    </w:rPr>
  </w:style>
  <w:style w:type="paragraph" w:customStyle="1" w:styleId="133">
    <w:name w:val="附录二级无标题条"/>
    <w:basedOn w:val="1"/>
    <w:next w:val="61"/>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4">
    <w:name w:val="附录三级无标题条"/>
    <w:basedOn w:val="133"/>
    <w:next w:val="61"/>
    <w:qFormat/>
    <w:uiPriority w:val="0"/>
    <w:pPr>
      <w:outlineLvl w:val="4"/>
    </w:pPr>
  </w:style>
  <w:style w:type="paragraph" w:customStyle="1" w:styleId="135">
    <w:name w:val="附录四级无标题条"/>
    <w:basedOn w:val="134"/>
    <w:next w:val="61"/>
    <w:qFormat/>
    <w:uiPriority w:val="0"/>
    <w:pPr>
      <w:outlineLvl w:val="5"/>
    </w:pPr>
  </w:style>
  <w:style w:type="paragraph" w:customStyle="1" w:styleId="136">
    <w:name w:val="附录图"/>
    <w:next w:val="61"/>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7">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8">
    <w:name w:val="附录五级无标题条"/>
    <w:basedOn w:val="135"/>
    <w:next w:val="61"/>
    <w:qFormat/>
    <w:uiPriority w:val="0"/>
    <w:pPr>
      <w:outlineLvl w:val="6"/>
    </w:pPr>
  </w:style>
  <w:style w:type="paragraph" w:customStyle="1" w:styleId="139">
    <w:name w:val="附录性质"/>
    <w:basedOn w:val="1"/>
    <w:qFormat/>
    <w:uiPriority w:val="0"/>
    <w:pPr>
      <w:widowControl/>
      <w:adjustRightInd/>
      <w:jc w:val="center"/>
    </w:pPr>
    <w:rPr>
      <w:rFonts w:ascii="黑体" w:eastAsia="黑体"/>
    </w:rPr>
  </w:style>
  <w:style w:type="paragraph" w:customStyle="1" w:styleId="140">
    <w:name w:val="附录一级无标题条"/>
    <w:basedOn w:val="92"/>
    <w:next w:val="61"/>
    <w:qFormat/>
    <w:uiPriority w:val="0"/>
    <w:pPr>
      <w:autoSpaceDN w:val="0"/>
      <w:outlineLvl w:val="2"/>
    </w:pPr>
    <w:rPr>
      <w:rFonts w:ascii="宋体" w:hAnsi="宋体" w:eastAsia="宋体"/>
    </w:rPr>
  </w:style>
  <w:style w:type="character" w:customStyle="1" w:styleId="141">
    <w:name w:val="个人答复风格"/>
    <w:qFormat/>
    <w:uiPriority w:val="0"/>
    <w:rPr>
      <w:rFonts w:ascii="Arial" w:hAnsi="Arial" w:eastAsia="宋体" w:cs="Arial"/>
      <w:color w:val="auto"/>
      <w:spacing w:val="0"/>
      <w:sz w:val="20"/>
    </w:rPr>
  </w:style>
  <w:style w:type="character" w:customStyle="1" w:styleId="142">
    <w:name w:val="个人撰写风格"/>
    <w:qFormat/>
    <w:uiPriority w:val="0"/>
    <w:rPr>
      <w:rFonts w:ascii="Arial" w:hAnsi="Arial" w:eastAsia="宋体" w:cs="Arial"/>
      <w:color w:val="auto"/>
      <w:spacing w:val="0"/>
      <w:sz w:val="20"/>
    </w:rPr>
  </w:style>
  <w:style w:type="paragraph" w:customStyle="1" w:styleId="143">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4">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5">
    <w:name w:val="列项·"/>
    <w:basedOn w:val="61"/>
    <w:qFormat/>
    <w:uiPriority w:val="0"/>
    <w:pPr>
      <w:tabs>
        <w:tab w:val="left" w:pos="840"/>
      </w:tabs>
    </w:pPr>
  </w:style>
  <w:style w:type="paragraph" w:customStyle="1" w:styleId="14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7">
    <w:name w:val="目录 21"/>
    <w:basedOn w:val="1"/>
    <w:next w:val="1"/>
    <w:autoRedefine/>
    <w:semiHidden/>
    <w:qFormat/>
    <w:uiPriority w:val="0"/>
    <w:pPr>
      <w:adjustRightInd/>
      <w:spacing w:line="240" w:lineRule="auto"/>
      <w:jc w:val="left"/>
    </w:pPr>
    <w:rPr>
      <w:bCs/>
      <w:iCs/>
    </w:rPr>
  </w:style>
  <w:style w:type="paragraph" w:customStyle="1" w:styleId="148">
    <w:name w:val="目录 31"/>
    <w:basedOn w:val="1"/>
    <w:next w:val="1"/>
    <w:autoRedefine/>
    <w:semiHidden/>
    <w:qFormat/>
    <w:uiPriority w:val="0"/>
    <w:pPr>
      <w:spacing w:line="240" w:lineRule="auto"/>
    </w:pPr>
    <w:rPr>
      <w:rFonts w:ascii="宋体" w:hAnsi="宋体"/>
      <w:iCs/>
    </w:rPr>
  </w:style>
  <w:style w:type="paragraph" w:customStyle="1" w:styleId="149">
    <w:name w:val="目录 41"/>
    <w:basedOn w:val="1"/>
    <w:next w:val="1"/>
    <w:autoRedefine/>
    <w:semiHidden/>
    <w:qFormat/>
    <w:uiPriority w:val="0"/>
    <w:pPr>
      <w:adjustRightInd/>
      <w:spacing w:line="240" w:lineRule="auto"/>
      <w:jc w:val="left"/>
    </w:pPr>
  </w:style>
  <w:style w:type="paragraph" w:customStyle="1" w:styleId="150">
    <w:name w:val="目录 51"/>
    <w:basedOn w:val="1"/>
    <w:next w:val="1"/>
    <w:autoRedefine/>
    <w:semiHidden/>
    <w:qFormat/>
    <w:uiPriority w:val="0"/>
    <w:pPr>
      <w:spacing w:line="240" w:lineRule="auto"/>
    </w:pPr>
    <w:rPr>
      <w:rFonts w:ascii="宋体" w:hAnsi="宋体"/>
    </w:rPr>
  </w:style>
  <w:style w:type="paragraph" w:customStyle="1" w:styleId="151">
    <w:name w:val="目录 61"/>
    <w:basedOn w:val="1"/>
    <w:next w:val="1"/>
    <w:autoRedefine/>
    <w:semiHidden/>
    <w:qFormat/>
    <w:uiPriority w:val="0"/>
    <w:pPr>
      <w:adjustRightInd/>
      <w:spacing w:line="240" w:lineRule="auto"/>
      <w:jc w:val="left"/>
    </w:pPr>
  </w:style>
  <w:style w:type="paragraph" w:customStyle="1" w:styleId="152">
    <w:name w:val="目录 71"/>
    <w:basedOn w:val="151"/>
    <w:autoRedefine/>
    <w:semiHidden/>
    <w:qFormat/>
    <w:uiPriority w:val="0"/>
    <w:pPr>
      <w:ind w:left="1260"/>
    </w:pPr>
  </w:style>
  <w:style w:type="paragraph" w:customStyle="1" w:styleId="153">
    <w:name w:val="目录 81"/>
    <w:basedOn w:val="152"/>
    <w:autoRedefine/>
    <w:semiHidden/>
    <w:qFormat/>
    <w:uiPriority w:val="0"/>
    <w:pPr>
      <w:ind w:left="1470"/>
    </w:pPr>
  </w:style>
  <w:style w:type="paragraph" w:customStyle="1" w:styleId="154">
    <w:name w:val="目录 91"/>
    <w:basedOn w:val="153"/>
    <w:autoRedefine/>
    <w:semiHidden/>
    <w:qFormat/>
    <w:uiPriority w:val="0"/>
    <w:pPr>
      <w:ind w:left="1680"/>
    </w:pPr>
  </w:style>
  <w:style w:type="paragraph" w:customStyle="1" w:styleId="15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6">
    <w:name w:val="其他发布部门"/>
    <w:basedOn w:val="124"/>
    <w:qFormat/>
    <w:uiPriority w:val="0"/>
    <w:pPr>
      <w:framePr w:wrap="around"/>
      <w:spacing w:line="0" w:lineRule="atLeast"/>
    </w:pPr>
    <w:rPr>
      <w:rFonts w:ascii="黑体" w:eastAsia="黑体"/>
      <w:b w:val="0"/>
    </w:rPr>
  </w:style>
  <w:style w:type="paragraph" w:customStyle="1" w:styleId="157">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8">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9">
    <w:name w:val="实施日期"/>
    <w:basedOn w:val="125"/>
    <w:qFormat/>
    <w:uiPriority w:val="0"/>
    <w:pPr>
      <w:framePr w:hSpace="0" w:wrap="around" w:xAlign="right"/>
      <w:jc w:val="right"/>
    </w:pPr>
  </w:style>
  <w:style w:type="paragraph" w:customStyle="1" w:styleId="160">
    <w:name w:val="四级无标题条"/>
    <w:basedOn w:val="1"/>
    <w:qFormat/>
    <w:uiPriority w:val="0"/>
    <w:pPr>
      <w:numPr>
        <w:ilvl w:val="5"/>
        <w:numId w:val="20"/>
      </w:numPr>
      <w:adjustRightInd/>
      <w:spacing w:line="240" w:lineRule="auto"/>
    </w:pPr>
    <w:rPr>
      <w:rFonts w:ascii="宋体" w:hAnsi="宋体"/>
      <w:szCs w:val="24"/>
    </w:rPr>
  </w:style>
  <w:style w:type="paragraph" w:customStyle="1" w:styleId="161">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2">
    <w:name w:val="无标题条"/>
    <w:next w:val="61"/>
    <w:qFormat/>
    <w:uiPriority w:val="0"/>
    <w:pPr>
      <w:jc w:val="both"/>
    </w:pPr>
    <w:rPr>
      <w:rFonts w:ascii="宋体" w:hAnsi="宋体" w:eastAsia="宋体" w:cs="Times New Roman"/>
      <w:sz w:val="21"/>
      <w:lang w:val="en-US" w:eastAsia="zh-CN" w:bidi="ar-SA"/>
    </w:rPr>
  </w:style>
  <w:style w:type="paragraph" w:customStyle="1" w:styleId="163">
    <w:name w:val="五级无标题条"/>
    <w:basedOn w:val="1"/>
    <w:qFormat/>
    <w:uiPriority w:val="0"/>
    <w:pPr>
      <w:numPr>
        <w:ilvl w:val="6"/>
        <w:numId w:val="20"/>
      </w:numPr>
      <w:adjustRightInd/>
    </w:pPr>
    <w:rPr>
      <w:szCs w:val="24"/>
    </w:rPr>
  </w:style>
  <w:style w:type="paragraph" w:customStyle="1" w:styleId="164">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5">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6">
    <w:name w:val="注×:后续"/>
    <w:basedOn w:val="165"/>
    <w:qFormat/>
    <w:uiPriority w:val="0"/>
    <w:pPr>
      <w:ind w:left="1406" w:leftChars="0" w:hanging="499" w:firstLineChars="0"/>
    </w:pPr>
  </w:style>
  <w:style w:type="paragraph" w:customStyle="1" w:styleId="167">
    <w:name w:val="标准文件_一级无标题"/>
    <w:basedOn w:val="110"/>
    <w:qFormat/>
    <w:uiPriority w:val="0"/>
    <w:pPr>
      <w:spacing w:before="0" w:beforeLines="0" w:after="0" w:afterLines="0"/>
      <w:outlineLvl w:val="9"/>
    </w:pPr>
    <w:rPr>
      <w:rFonts w:ascii="宋体" w:eastAsia="宋体"/>
    </w:rPr>
  </w:style>
  <w:style w:type="paragraph" w:customStyle="1" w:styleId="168">
    <w:name w:val="标准文件_五级无标题"/>
    <w:basedOn w:val="108"/>
    <w:qFormat/>
    <w:uiPriority w:val="0"/>
    <w:pPr>
      <w:spacing w:before="0" w:beforeLines="0" w:after="0" w:afterLines="0"/>
      <w:outlineLvl w:val="9"/>
    </w:pPr>
    <w:rPr>
      <w:rFonts w:ascii="宋体" w:eastAsia="宋体"/>
    </w:rPr>
  </w:style>
  <w:style w:type="paragraph" w:customStyle="1" w:styleId="169">
    <w:name w:val="标准文件_三级无标题"/>
    <w:basedOn w:val="99"/>
    <w:qFormat/>
    <w:uiPriority w:val="0"/>
    <w:pPr>
      <w:spacing w:before="0" w:beforeLines="0" w:after="0" w:afterLines="0"/>
      <w:outlineLvl w:val="9"/>
    </w:pPr>
    <w:rPr>
      <w:rFonts w:ascii="宋体" w:eastAsia="宋体"/>
    </w:rPr>
  </w:style>
  <w:style w:type="paragraph" w:customStyle="1" w:styleId="170">
    <w:name w:val="标准文件_二级无标题"/>
    <w:basedOn w:val="70"/>
    <w:qFormat/>
    <w:uiPriority w:val="0"/>
    <w:pPr>
      <w:spacing w:before="0" w:beforeLines="0" w:after="0" w:afterLines="0"/>
      <w:outlineLvl w:val="9"/>
    </w:pPr>
    <w:rPr>
      <w:rFonts w:ascii="宋体" w:eastAsia="宋体"/>
    </w:rPr>
  </w:style>
  <w:style w:type="paragraph" w:customStyle="1" w:styleId="171">
    <w:name w:val="标准_四级无标题"/>
    <w:basedOn w:val="103"/>
    <w:next w:val="61"/>
    <w:qFormat/>
    <w:uiPriority w:val="0"/>
    <w:rPr>
      <w:rFonts w:eastAsia="宋体"/>
    </w:rPr>
  </w:style>
  <w:style w:type="paragraph" w:customStyle="1" w:styleId="172">
    <w:name w:val="标准文件_四级无标题"/>
    <w:basedOn w:val="103"/>
    <w:qFormat/>
    <w:uiPriority w:val="0"/>
    <w:pPr>
      <w:spacing w:before="0" w:beforeLines="0" w:after="0" w:afterLines="0"/>
      <w:outlineLvl w:val="9"/>
    </w:pPr>
    <w:rPr>
      <w:rFonts w:ascii="宋体" w:hAnsi="黑体" w:eastAsia="宋体"/>
      <w:szCs w:val="52"/>
    </w:rPr>
  </w:style>
  <w:style w:type="paragraph" w:customStyle="1" w:styleId="173">
    <w:name w:val="标准文件_大写罗马数字编号列项"/>
    <w:basedOn w:val="61"/>
    <w:qFormat/>
    <w:uiPriority w:val="0"/>
    <w:pPr>
      <w:numPr>
        <w:ilvl w:val="0"/>
        <w:numId w:val="23"/>
      </w:numPr>
      <w:ind w:firstLine="0" w:firstLineChars="0"/>
    </w:pPr>
    <w:rPr>
      <w:rFonts w:ascii="Times New Roman" w:cs="Arial"/>
      <w:szCs w:val="28"/>
    </w:rPr>
  </w:style>
  <w:style w:type="paragraph" w:customStyle="1" w:styleId="174">
    <w:name w:val="标准文件_小写罗马数字编号列项"/>
    <w:basedOn w:val="61"/>
    <w:qFormat/>
    <w:uiPriority w:val="0"/>
    <w:pPr>
      <w:numPr>
        <w:ilvl w:val="0"/>
        <w:numId w:val="24"/>
      </w:numPr>
      <w:ind w:firstLine="0" w:firstLineChars="0"/>
    </w:pPr>
    <w:rPr>
      <w:rFonts w:cs="Arial"/>
      <w:szCs w:val="28"/>
    </w:rPr>
  </w:style>
  <w:style w:type="paragraph" w:customStyle="1" w:styleId="175">
    <w:name w:val="标准文件_附录标题"/>
    <w:basedOn w:val="81"/>
    <w:qFormat/>
    <w:uiPriority w:val="0"/>
    <w:pPr>
      <w:numPr>
        <w:numId w:val="0"/>
      </w:numPr>
      <w:spacing w:after="280"/>
      <w:outlineLvl w:val="9"/>
    </w:pPr>
  </w:style>
  <w:style w:type="paragraph" w:customStyle="1" w:styleId="176">
    <w:name w:val="标准文件_二级项"/>
    <w:qFormat/>
    <w:uiPriority w:val="0"/>
    <w:rPr>
      <w:rFonts w:ascii="宋体" w:hAnsi="Times New Roman" w:eastAsia="宋体" w:cs="Times New Roman"/>
      <w:sz w:val="21"/>
      <w:lang w:val="en-US" w:eastAsia="zh-CN" w:bidi="ar-SA"/>
    </w:rPr>
  </w:style>
  <w:style w:type="paragraph" w:customStyle="1" w:styleId="177">
    <w:name w:val="标准文件_三级项"/>
    <w:basedOn w:val="1"/>
    <w:qFormat/>
    <w:uiPriority w:val="0"/>
    <w:pPr>
      <w:numPr>
        <w:ilvl w:val="2"/>
        <w:numId w:val="21"/>
      </w:numPr>
      <w:spacing w:line="536870612" w:lineRule="auto"/>
    </w:pPr>
    <w:rPr>
      <w:rFonts w:ascii="Times New Roman" w:hAnsi="Times New Roman"/>
    </w:rPr>
  </w:style>
  <w:style w:type="paragraph" w:customStyle="1" w:styleId="178">
    <w:name w:val="图表脚注说明"/>
    <w:basedOn w:val="1"/>
    <w:next w:val="61"/>
    <w:qFormat/>
    <w:uiPriority w:val="0"/>
    <w:pPr>
      <w:numPr>
        <w:ilvl w:val="0"/>
        <w:numId w:val="25"/>
      </w:numPr>
      <w:adjustRightInd/>
      <w:spacing w:line="240" w:lineRule="auto"/>
    </w:pPr>
    <w:rPr>
      <w:rFonts w:ascii="宋体" w:hAnsi="Times New Roman"/>
      <w:sz w:val="18"/>
      <w:szCs w:val="18"/>
    </w:rPr>
  </w:style>
  <w:style w:type="paragraph" w:customStyle="1" w:styleId="179">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80">
    <w:name w:val="标准文件_索引字母"/>
    <w:next w:val="61"/>
    <w:qFormat/>
    <w:uiPriority w:val="0"/>
    <w:pPr>
      <w:jc w:val="center"/>
    </w:pPr>
    <w:rPr>
      <w:rFonts w:ascii="宋体" w:hAnsi="宋体" w:eastAsia="Times New Roman" w:cs="Times New Roman"/>
      <w:b/>
      <w:kern w:val="2"/>
      <w:sz w:val="21"/>
      <w:lang w:val="en-US" w:eastAsia="zh-CN" w:bidi="ar-SA"/>
    </w:rPr>
  </w:style>
  <w:style w:type="paragraph" w:customStyle="1" w:styleId="181">
    <w:name w:val="标准文件_附录前"/>
    <w:next w:val="61"/>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82">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3">
    <w:name w:val="标准文件_表格"/>
    <w:basedOn w:val="61"/>
    <w:qFormat/>
    <w:uiPriority w:val="0"/>
    <w:pPr>
      <w:ind w:firstLine="0" w:firstLineChars="0"/>
      <w:jc w:val="center"/>
    </w:pPr>
    <w:rPr>
      <w:sz w:val="18"/>
    </w:rPr>
  </w:style>
  <w:style w:type="paragraph" w:customStyle="1" w:styleId="184">
    <w:name w:val="标准文件_注："/>
    <w:next w:val="61"/>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5">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6">
    <w:name w:val="标准文件_示例："/>
    <w:next w:val="187"/>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7">
    <w:name w:val="标准文件_示例内容"/>
    <w:basedOn w:val="61"/>
    <w:qFormat/>
    <w:uiPriority w:val="0"/>
    <w:pPr>
      <w:ind w:firstLine="420"/>
    </w:pPr>
    <w:rPr>
      <w:sz w:val="18"/>
    </w:rPr>
  </w:style>
  <w:style w:type="paragraph" w:customStyle="1" w:styleId="188">
    <w:name w:val="标准文件_示例×："/>
    <w:basedOn w:val="1"/>
    <w:next w:val="187"/>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9">
    <w:name w:val="标准文件_段 Char"/>
    <w:link w:val="61"/>
    <w:qFormat/>
    <w:uiPriority w:val="0"/>
    <w:rPr>
      <w:rFonts w:ascii="宋体" w:hAnsi="Times New Roman"/>
      <w:sz w:val="21"/>
    </w:rPr>
  </w:style>
  <w:style w:type="paragraph" w:customStyle="1" w:styleId="190">
    <w:name w:val="标准文件_表格续"/>
    <w:basedOn w:val="61"/>
    <w:next w:val="61"/>
    <w:qFormat/>
    <w:uiPriority w:val="0"/>
    <w:pPr>
      <w:jc w:val="center"/>
    </w:pPr>
    <w:rPr>
      <w:rFonts w:ascii="黑体" w:hAnsi="黑体" w:eastAsia="黑体"/>
    </w:rPr>
  </w:style>
  <w:style w:type="character" w:styleId="191">
    <w:name w:val="Placeholder Text"/>
    <w:basedOn w:val="32"/>
    <w:semiHidden/>
    <w:qFormat/>
    <w:uiPriority w:val="99"/>
    <w:rPr>
      <w:color w:val="808080"/>
    </w:rPr>
  </w:style>
  <w:style w:type="paragraph" w:customStyle="1" w:styleId="192">
    <w:name w:val="标准文件_二级项2"/>
    <w:basedOn w:val="61"/>
    <w:qFormat/>
    <w:uiPriority w:val="0"/>
    <w:pPr>
      <w:numPr>
        <w:ilvl w:val="1"/>
        <w:numId w:val="21"/>
      </w:numPr>
      <w:ind w:firstLine="0" w:firstLineChars="0"/>
    </w:pPr>
  </w:style>
  <w:style w:type="paragraph" w:customStyle="1" w:styleId="193">
    <w:name w:val="标准文件_三级项2"/>
    <w:basedOn w:val="61"/>
    <w:qFormat/>
    <w:uiPriority w:val="0"/>
    <w:pPr>
      <w:numPr>
        <w:ilvl w:val="0"/>
        <w:numId w:val="30"/>
      </w:numPr>
      <w:spacing w:line="300" w:lineRule="exact"/>
      <w:ind w:firstLineChars="0"/>
    </w:pPr>
    <w:rPr>
      <w:rFonts w:ascii="Times New Roman"/>
    </w:rPr>
  </w:style>
  <w:style w:type="paragraph" w:customStyle="1" w:styleId="194">
    <w:name w:val="标准文件_一级项2"/>
    <w:basedOn w:val="61"/>
    <w:qFormat/>
    <w:uiPriority w:val="0"/>
    <w:pPr>
      <w:numPr>
        <w:ilvl w:val="0"/>
        <w:numId w:val="31"/>
      </w:numPr>
      <w:spacing w:line="300" w:lineRule="exact"/>
      <w:ind w:firstLineChars="0"/>
    </w:pPr>
    <w:rPr>
      <w:rFonts w:ascii="Times New Roman"/>
    </w:rPr>
  </w:style>
  <w:style w:type="paragraph" w:customStyle="1" w:styleId="195">
    <w:name w:val="标准文件_提示"/>
    <w:basedOn w:val="61"/>
    <w:next w:val="61"/>
    <w:qFormat/>
    <w:uiPriority w:val="0"/>
    <w:pPr>
      <w:ind w:firstLine="420"/>
    </w:pPr>
    <w:rPr>
      <w:rFonts w:ascii="黑体" w:eastAsia="黑体"/>
    </w:rPr>
  </w:style>
  <w:style w:type="character" w:customStyle="1" w:styleId="196">
    <w:name w:val="标准文件_来源"/>
    <w:basedOn w:val="32"/>
    <w:qFormat/>
    <w:uiPriority w:val="1"/>
    <w:rPr>
      <w:rFonts w:eastAsia="宋体"/>
      <w:sz w:val="21"/>
    </w:rPr>
  </w:style>
  <w:style w:type="paragraph" w:customStyle="1" w:styleId="197">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8">
    <w:name w:val="其他发布日期"/>
    <w:basedOn w:val="125"/>
    <w:qFormat/>
    <w:uiPriority w:val="0"/>
    <w:pPr>
      <w:framePr w:w="3997" w:h="471" w:hRule="exact" w:hSpace="0" w:vSpace="181" w:wrap="around" w:vAnchor="page" w:hAnchor="page" w:x="1419" w:y="14097"/>
    </w:pPr>
  </w:style>
  <w:style w:type="paragraph" w:customStyle="1" w:styleId="199">
    <w:name w:val="其他实施日期"/>
    <w:basedOn w:val="159"/>
    <w:qFormat/>
    <w:uiPriority w:val="0"/>
    <w:pPr>
      <w:framePr w:w="3997" w:h="471" w:hRule="exact" w:vSpace="181" w:wrap="around" w:vAnchor="page" w:hAnchor="page" w:x="7089" w:y="14097"/>
    </w:pPr>
  </w:style>
  <w:style w:type="paragraph" w:customStyle="1" w:styleId="200">
    <w:name w:val="标准文件_文件编号"/>
    <w:basedOn w:val="61"/>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01">
    <w:name w:val="标准文件_替换文件编号"/>
    <w:basedOn w:val="200"/>
    <w:qFormat/>
    <w:uiPriority w:val="0"/>
    <w:pPr>
      <w:spacing w:before="57"/>
    </w:pPr>
    <w:rPr>
      <w:sz w:val="21"/>
    </w:rPr>
  </w:style>
  <w:style w:type="paragraph" w:customStyle="1" w:styleId="202">
    <w:name w:val="标准文件_文件名称"/>
    <w:basedOn w:val="61"/>
    <w:next w:val="61"/>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3">
    <w:name w:val="标准文件_附录图标号"/>
    <w:basedOn w:val="61"/>
    <w:next w:val="61"/>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4">
    <w:name w:val="标准文件_附录表标号"/>
    <w:basedOn w:val="61"/>
    <w:next w:val="61"/>
    <w:qFormat/>
    <w:uiPriority w:val="0"/>
    <w:pPr>
      <w:numPr>
        <w:ilvl w:val="0"/>
        <w:numId w:val="5"/>
      </w:numPr>
      <w:spacing w:line="14" w:lineRule="exact"/>
      <w:ind w:firstLine="0" w:firstLineChars="0"/>
      <w:jc w:val="center"/>
    </w:pPr>
    <w:rPr>
      <w:rFonts w:eastAsia="黑体"/>
      <w:vanish/>
      <w:sz w:val="2"/>
    </w:rPr>
  </w:style>
  <w:style w:type="paragraph" w:customStyle="1" w:styleId="205">
    <w:name w:val="标准文件_引言一级条标题"/>
    <w:basedOn w:val="61"/>
    <w:next w:val="61"/>
    <w:qFormat/>
    <w:uiPriority w:val="0"/>
    <w:pPr>
      <w:numPr>
        <w:ilvl w:val="1"/>
        <w:numId w:val="8"/>
      </w:numPr>
      <w:spacing w:before="50" w:beforeLines="50" w:after="50" w:afterLines="50"/>
      <w:ind w:firstLineChars="0"/>
    </w:pPr>
    <w:rPr>
      <w:rFonts w:ascii="黑体" w:eastAsia="黑体"/>
    </w:rPr>
  </w:style>
  <w:style w:type="paragraph" w:customStyle="1" w:styleId="206">
    <w:name w:val="标准文件_引言二级条标题"/>
    <w:basedOn w:val="61"/>
    <w:next w:val="61"/>
    <w:qFormat/>
    <w:uiPriority w:val="0"/>
    <w:pPr>
      <w:numPr>
        <w:ilvl w:val="2"/>
        <w:numId w:val="8"/>
      </w:numPr>
      <w:spacing w:before="50" w:beforeLines="50" w:after="50" w:afterLines="50"/>
      <w:ind w:firstLineChars="0"/>
    </w:pPr>
    <w:rPr>
      <w:rFonts w:ascii="黑体" w:eastAsia="黑体"/>
    </w:rPr>
  </w:style>
  <w:style w:type="paragraph" w:customStyle="1" w:styleId="207">
    <w:name w:val="标准文件_引言三级条标题"/>
    <w:basedOn w:val="61"/>
    <w:next w:val="61"/>
    <w:qFormat/>
    <w:uiPriority w:val="0"/>
    <w:pPr>
      <w:numPr>
        <w:ilvl w:val="3"/>
        <w:numId w:val="8"/>
      </w:numPr>
      <w:spacing w:before="50" w:beforeLines="50" w:after="50" w:afterLines="50"/>
      <w:ind w:firstLineChars="0"/>
    </w:pPr>
    <w:rPr>
      <w:rFonts w:ascii="黑体" w:eastAsia="黑体"/>
    </w:rPr>
  </w:style>
  <w:style w:type="paragraph" w:customStyle="1" w:styleId="208">
    <w:name w:val="标准文件_引言四级条标题"/>
    <w:basedOn w:val="61"/>
    <w:next w:val="61"/>
    <w:qFormat/>
    <w:uiPriority w:val="0"/>
    <w:pPr>
      <w:numPr>
        <w:ilvl w:val="4"/>
        <w:numId w:val="8"/>
      </w:numPr>
      <w:spacing w:before="50" w:beforeLines="50" w:after="50" w:afterLines="50"/>
      <w:ind w:firstLineChars="0"/>
    </w:pPr>
    <w:rPr>
      <w:rFonts w:ascii="黑体" w:eastAsia="黑体"/>
    </w:rPr>
  </w:style>
  <w:style w:type="paragraph" w:customStyle="1" w:styleId="209">
    <w:name w:val="标准文件_引言五级条标题"/>
    <w:basedOn w:val="61"/>
    <w:next w:val="61"/>
    <w:qFormat/>
    <w:uiPriority w:val="0"/>
    <w:pPr>
      <w:numPr>
        <w:ilvl w:val="5"/>
        <w:numId w:val="8"/>
      </w:numPr>
      <w:spacing w:before="50" w:beforeLines="50" w:after="50" w:afterLines="50"/>
      <w:ind w:firstLineChars="0"/>
    </w:pPr>
    <w:rPr>
      <w:rFonts w:ascii="黑体" w:eastAsia="黑体"/>
    </w:rPr>
  </w:style>
  <w:style w:type="paragraph" w:customStyle="1" w:styleId="210">
    <w:name w:val="标准文件_注后"/>
    <w:basedOn w:val="61"/>
    <w:qFormat/>
    <w:uiPriority w:val="0"/>
    <w:pPr>
      <w:ind w:left="811" w:firstLine="0" w:firstLineChars="0"/>
    </w:pPr>
    <w:rPr>
      <w:sz w:val="18"/>
    </w:rPr>
  </w:style>
  <w:style w:type="paragraph" w:customStyle="1" w:styleId="211">
    <w:name w:val="标准文件_注X后"/>
    <w:basedOn w:val="61"/>
    <w:qFormat/>
    <w:uiPriority w:val="0"/>
    <w:pPr>
      <w:ind w:left="811" w:firstLine="0" w:firstLineChars="0"/>
    </w:pPr>
    <w:rPr>
      <w:sz w:val="18"/>
    </w:rPr>
  </w:style>
  <w:style w:type="paragraph" w:customStyle="1" w:styleId="212">
    <w:name w:val="标准文件_示例后"/>
    <w:basedOn w:val="61"/>
    <w:qFormat/>
    <w:uiPriority w:val="0"/>
    <w:pPr>
      <w:ind w:left="964" w:firstLine="0" w:firstLineChars="0"/>
    </w:pPr>
    <w:rPr>
      <w:sz w:val="18"/>
    </w:rPr>
  </w:style>
  <w:style w:type="paragraph" w:customStyle="1" w:styleId="213">
    <w:name w:val="标准文件_示例X后"/>
    <w:basedOn w:val="61"/>
    <w:link w:val="214"/>
    <w:qFormat/>
    <w:uiPriority w:val="0"/>
    <w:pPr>
      <w:ind w:left="1049" w:firstLine="0" w:firstLineChars="0"/>
    </w:pPr>
    <w:rPr>
      <w:sz w:val="18"/>
    </w:rPr>
  </w:style>
  <w:style w:type="character" w:customStyle="1" w:styleId="214">
    <w:name w:val="标准文件_示例X后 字符"/>
    <w:basedOn w:val="189"/>
    <w:link w:val="213"/>
    <w:qFormat/>
    <w:uiPriority w:val="0"/>
    <w:rPr>
      <w:rFonts w:ascii="宋体" w:hAnsi="Times New Roman"/>
      <w:sz w:val="18"/>
    </w:rPr>
  </w:style>
  <w:style w:type="paragraph" w:customStyle="1" w:styleId="215">
    <w:name w:val="标准文件_索引项"/>
    <w:basedOn w:val="61"/>
    <w:next w:val="61"/>
    <w:qFormat/>
    <w:uiPriority w:val="0"/>
    <w:pPr>
      <w:tabs>
        <w:tab w:val="right" w:leader="dot" w:pos="9356"/>
      </w:tabs>
      <w:ind w:left="210" w:hanging="210" w:firstLineChars="0"/>
      <w:jc w:val="left"/>
    </w:pPr>
  </w:style>
  <w:style w:type="paragraph" w:customStyle="1" w:styleId="216">
    <w:name w:val="标准文件_附录一级无标题"/>
    <w:basedOn w:val="83"/>
    <w:qFormat/>
    <w:uiPriority w:val="0"/>
    <w:pPr>
      <w:spacing w:before="0" w:beforeLines="0" w:after="0" w:afterLines="0" w:line="276" w:lineRule="auto"/>
      <w:outlineLvl w:val="9"/>
    </w:pPr>
    <w:rPr>
      <w:rFonts w:ascii="宋体" w:eastAsia="宋体"/>
    </w:rPr>
  </w:style>
  <w:style w:type="paragraph" w:customStyle="1" w:styleId="217">
    <w:name w:val="标准文件_附录二级无标题"/>
    <w:basedOn w:val="84"/>
    <w:qFormat/>
    <w:uiPriority w:val="0"/>
    <w:pPr>
      <w:spacing w:before="0" w:beforeLines="0" w:after="0" w:afterLines="0" w:line="276" w:lineRule="auto"/>
      <w:outlineLvl w:val="9"/>
    </w:pPr>
    <w:rPr>
      <w:rFonts w:ascii="宋体" w:eastAsia="宋体"/>
    </w:rPr>
  </w:style>
  <w:style w:type="paragraph" w:customStyle="1" w:styleId="218">
    <w:name w:val="标准文件_附录三级无标题"/>
    <w:basedOn w:val="86"/>
    <w:qFormat/>
    <w:uiPriority w:val="0"/>
    <w:pPr>
      <w:spacing w:before="0" w:beforeLines="0" w:after="0" w:afterLines="0" w:line="276" w:lineRule="auto"/>
      <w:outlineLvl w:val="9"/>
    </w:pPr>
    <w:rPr>
      <w:rFonts w:ascii="宋体" w:eastAsia="宋体"/>
    </w:rPr>
  </w:style>
  <w:style w:type="paragraph" w:customStyle="1" w:styleId="219">
    <w:name w:val="标准文件_附录四级无标题"/>
    <w:basedOn w:val="87"/>
    <w:qFormat/>
    <w:uiPriority w:val="0"/>
    <w:pPr>
      <w:spacing w:before="0" w:beforeLines="0" w:after="0" w:afterLines="0" w:line="276" w:lineRule="auto"/>
      <w:outlineLvl w:val="9"/>
    </w:pPr>
    <w:rPr>
      <w:rFonts w:ascii="宋体" w:eastAsia="宋体"/>
    </w:rPr>
  </w:style>
  <w:style w:type="paragraph" w:customStyle="1" w:styleId="220">
    <w:name w:val="标准文件_附录五级无标题"/>
    <w:basedOn w:val="89"/>
    <w:qFormat/>
    <w:uiPriority w:val="0"/>
    <w:pPr>
      <w:spacing w:before="0" w:beforeLines="0" w:after="0" w:afterLines="0" w:line="276" w:lineRule="auto"/>
      <w:outlineLvl w:val="9"/>
    </w:pPr>
    <w:rPr>
      <w:rFonts w:ascii="宋体" w:eastAsia="宋体"/>
    </w:rPr>
  </w:style>
  <w:style w:type="paragraph" w:customStyle="1" w:styleId="221">
    <w:name w:val="标准文件_引言一级无标题"/>
    <w:basedOn w:val="205"/>
    <w:next w:val="61"/>
    <w:qFormat/>
    <w:uiPriority w:val="0"/>
    <w:pPr>
      <w:spacing w:before="0" w:beforeLines="0" w:after="0" w:afterLines="0" w:line="276" w:lineRule="auto"/>
    </w:pPr>
    <w:rPr>
      <w:rFonts w:ascii="宋体" w:eastAsia="宋体"/>
    </w:rPr>
  </w:style>
  <w:style w:type="paragraph" w:customStyle="1" w:styleId="222">
    <w:name w:val="标准文件_引言二级无标题"/>
    <w:basedOn w:val="206"/>
    <w:next w:val="61"/>
    <w:qFormat/>
    <w:uiPriority w:val="0"/>
    <w:pPr>
      <w:spacing w:before="0" w:beforeLines="0" w:after="0" w:afterLines="0" w:line="276" w:lineRule="auto"/>
    </w:pPr>
    <w:rPr>
      <w:rFonts w:ascii="宋体" w:eastAsia="宋体"/>
    </w:rPr>
  </w:style>
  <w:style w:type="paragraph" w:customStyle="1" w:styleId="223">
    <w:name w:val="标准文件_引言三级无标题"/>
    <w:basedOn w:val="207"/>
    <w:qFormat/>
    <w:uiPriority w:val="0"/>
    <w:pPr>
      <w:spacing w:before="0" w:beforeLines="0" w:after="0" w:afterLines="0" w:line="276" w:lineRule="auto"/>
    </w:pPr>
    <w:rPr>
      <w:rFonts w:ascii="宋体" w:eastAsia="宋体"/>
    </w:rPr>
  </w:style>
  <w:style w:type="paragraph" w:customStyle="1" w:styleId="224">
    <w:name w:val="标准文件_引言四级无标题"/>
    <w:basedOn w:val="208"/>
    <w:next w:val="61"/>
    <w:qFormat/>
    <w:uiPriority w:val="0"/>
    <w:pPr>
      <w:spacing w:before="0" w:beforeLines="0" w:after="0" w:afterLines="0" w:line="276" w:lineRule="auto"/>
    </w:pPr>
    <w:rPr>
      <w:rFonts w:ascii="宋体" w:eastAsia="宋体"/>
    </w:rPr>
  </w:style>
  <w:style w:type="paragraph" w:customStyle="1" w:styleId="225">
    <w:name w:val="标准文件_引言五级无标题"/>
    <w:basedOn w:val="209"/>
    <w:next w:val="61"/>
    <w:qFormat/>
    <w:uiPriority w:val="0"/>
    <w:pPr>
      <w:spacing w:before="0" w:beforeLines="0" w:after="0" w:afterLines="0" w:line="276" w:lineRule="auto"/>
    </w:pPr>
    <w:rPr>
      <w:rFonts w:ascii="宋体" w:eastAsia="宋体"/>
    </w:rPr>
  </w:style>
  <w:style w:type="paragraph" w:customStyle="1" w:styleId="226">
    <w:name w:val="标准文件_索引标题"/>
    <w:basedOn w:val="68"/>
    <w:next w:val="61"/>
    <w:qFormat/>
    <w:uiPriority w:val="0"/>
    <w:rPr>
      <w:rFonts w:hAnsi="黑体"/>
    </w:rPr>
  </w:style>
  <w:style w:type="paragraph" w:customStyle="1" w:styleId="227">
    <w:name w:val="标准文件_脚注内容"/>
    <w:basedOn w:val="61"/>
    <w:qFormat/>
    <w:uiPriority w:val="0"/>
    <w:pPr>
      <w:ind w:left="400" w:leftChars="200" w:hanging="200" w:hangingChars="200"/>
    </w:pPr>
    <w:rPr>
      <w:sz w:val="15"/>
    </w:rPr>
  </w:style>
  <w:style w:type="paragraph" w:customStyle="1" w:styleId="228">
    <w:name w:val="标准文件_术语条一"/>
    <w:basedOn w:val="167"/>
    <w:next w:val="61"/>
    <w:qFormat/>
    <w:uiPriority w:val="0"/>
  </w:style>
  <w:style w:type="paragraph" w:customStyle="1" w:styleId="229">
    <w:name w:val="标准文件_术语条二"/>
    <w:basedOn w:val="170"/>
    <w:next w:val="61"/>
    <w:qFormat/>
    <w:uiPriority w:val="0"/>
  </w:style>
  <w:style w:type="paragraph" w:customStyle="1" w:styleId="230">
    <w:name w:val="标准文件_术语条三"/>
    <w:basedOn w:val="169"/>
    <w:next w:val="61"/>
    <w:qFormat/>
    <w:uiPriority w:val="0"/>
  </w:style>
  <w:style w:type="paragraph" w:customStyle="1" w:styleId="231">
    <w:name w:val="标准文件_术语条四"/>
    <w:basedOn w:val="172"/>
    <w:next w:val="61"/>
    <w:qFormat/>
    <w:uiPriority w:val="0"/>
  </w:style>
  <w:style w:type="paragraph" w:customStyle="1" w:styleId="232">
    <w:name w:val="标准文件_术语条五"/>
    <w:basedOn w:val="168"/>
    <w:next w:val="61"/>
    <w:qFormat/>
    <w:uiPriority w:val="0"/>
  </w:style>
  <w:style w:type="paragraph" w:customStyle="1" w:styleId="2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4">
    <w:name w:val="发布"/>
    <w:basedOn w:val="32"/>
    <w:qFormat/>
    <w:uiPriority w:val="0"/>
    <w:rPr>
      <w:rFonts w:ascii="黑体" w:eastAsia="黑体"/>
      <w:spacing w:val="85"/>
      <w:w w:val="100"/>
      <w:position w:val="3"/>
      <w:sz w:val="28"/>
      <w:szCs w:val="28"/>
    </w:rPr>
  </w:style>
  <w:style w:type="paragraph" w:customStyle="1" w:styleId="235">
    <w:name w:val="正文首行缩进 21"/>
    <w:basedOn w:val="15"/>
    <w:unhideWhenUsed/>
    <w:qFormat/>
    <w:uiPriority w:val="99"/>
    <w:pPr>
      <w:adjustRightInd/>
      <w:spacing w:line="240" w:lineRule="auto"/>
      <w:ind w:firstLine="420" w:firstLineChars="200"/>
    </w:pPr>
    <w:rPr>
      <w:szCs w:val="24"/>
    </w:rPr>
  </w:style>
  <w:style w:type="character" w:customStyle="1" w:styleId="236">
    <w:name w:val="正文文本缩进 Char"/>
    <w:basedOn w:val="32"/>
    <w:link w:val="15"/>
    <w:semiHidden/>
    <w:qFormat/>
    <w:uiPriority w:val="99"/>
    <w:rPr>
      <w:kern w:val="2"/>
      <w:sz w:val="21"/>
      <w:szCs w:val="21"/>
    </w:rPr>
  </w:style>
  <w:style w:type="paragraph" w:customStyle="1" w:styleId="237">
    <w:name w:val="修订1"/>
    <w:hidden/>
    <w:semiHidden/>
    <w:qFormat/>
    <w:uiPriority w:val="99"/>
    <w:rPr>
      <w:rFonts w:ascii="Calibri" w:hAnsi="Calibri" w:eastAsia="宋体" w:cs="Times New Roman"/>
      <w:kern w:val="2"/>
      <w:sz w:val="21"/>
      <w:szCs w:val="21"/>
      <w:lang w:val="en-US" w:eastAsia="zh-CN" w:bidi="ar-SA"/>
    </w:rPr>
  </w:style>
  <w:style w:type="character" w:customStyle="1" w:styleId="238">
    <w:name w:val="批注文字 Char"/>
    <w:basedOn w:val="32"/>
    <w:link w:val="13"/>
    <w:semiHidden/>
    <w:qFormat/>
    <w:uiPriority w:val="99"/>
    <w:rPr>
      <w:kern w:val="2"/>
      <w:sz w:val="21"/>
      <w:szCs w:val="21"/>
    </w:rPr>
  </w:style>
  <w:style w:type="character" w:customStyle="1" w:styleId="239">
    <w:name w:val="批注主题 Char"/>
    <w:basedOn w:val="238"/>
    <w:link w:val="29"/>
    <w:semiHidden/>
    <w:qFormat/>
    <w:uiPriority w:val="99"/>
    <w:rPr>
      <w:b/>
      <w:bCs/>
      <w:kern w:val="2"/>
      <w:sz w:val="21"/>
      <w:szCs w:val="21"/>
    </w:rPr>
  </w:style>
  <w:style w:type="paragraph" w:customStyle="1" w:styleId="240">
    <w:name w:val="修订2"/>
    <w:hidden/>
    <w:unhideWhenUsed/>
    <w:qFormat/>
    <w:uiPriority w:val="99"/>
    <w:rPr>
      <w:rFonts w:ascii="Calibri" w:hAnsi="Calibri" w:eastAsia="宋体" w:cs="Times New Roman"/>
      <w:kern w:val="2"/>
      <w:sz w:val="21"/>
      <w:szCs w:val="21"/>
      <w:lang w:val="en-US" w:eastAsia="zh-CN" w:bidi="ar-SA"/>
    </w:rPr>
  </w:style>
  <w:style w:type="paragraph" w:customStyle="1" w:styleId="241">
    <w:name w:val="Revision"/>
    <w:hidden/>
    <w:unhideWhenUsed/>
    <w:qFormat/>
    <w:uiPriority w:val="99"/>
    <w:rPr>
      <w:rFonts w:ascii="Calibri" w:hAnsi="Calibri" w:eastAsia="宋体" w:cs="Times New Roman"/>
      <w:kern w:val="2"/>
      <w:sz w:val="21"/>
      <w:szCs w:val="21"/>
      <w:lang w:val="en-US" w:eastAsia="zh-CN" w:bidi="ar-SA"/>
    </w:rPr>
  </w:style>
  <w:style w:type="character" w:customStyle="1" w:styleId="242">
    <w:name w:val="font21"/>
    <w:basedOn w:val="32"/>
    <w:qFormat/>
    <w:uiPriority w:val="0"/>
    <w:rPr>
      <w:rFonts w:hint="default" w:ascii="Times New Roman" w:hAnsi="Times New Roman" w:cs="Times New Roman"/>
      <w:color w:val="000000"/>
      <w:sz w:val="21"/>
      <w:szCs w:val="21"/>
      <w:u w:val="none"/>
    </w:rPr>
  </w:style>
  <w:style w:type="character" w:customStyle="1" w:styleId="243">
    <w:name w:val="font11"/>
    <w:basedOn w:val="32"/>
    <w:qFormat/>
    <w:uiPriority w:val="0"/>
    <w:rPr>
      <w:rFonts w:hint="default" w:ascii="Segoe UI" w:hAnsi="Segoe UI" w:eastAsia="Segoe UI" w:cs="Segoe U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1" Type="http://schemas.openxmlformats.org/officeDocument/2006/relationships/glossaryDocument" Target="glossary/document.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jpeg"/><Relationship Id="rId25" Type="http://schemas.openxmlformats.org/officeDocument/2006/relationships/theme" Target="theme/theme1.xml"/><Relationship Id="rId24" Type="http://schemas.openxmlformats.org/officeDocument/2006/relationships/footer" Target="footer8.xml"/><Relationship Id="rId23" Type="http://schemas.openxmlformats.org/officeDocument/2006/relationships/footer" Target="footer7.xml"/><Relationship Id="rId22" Type="http://schemas.openxmlformats.org/officeDocument/2006/relationships/header" Target="header12.xml"/><Relationship Id="rId21" Type="http://schemas.openxmlformats.org/officeDocument/2006/relationships/header" Target="header11.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footer" Target="footer6.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footer" Target="footer3.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242;&#20307;&#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2B77DB749804158B30A2318A9CC564E"/>
        <w:style w:val=""/>
        <w:category>
          <w:name w:val="常规"/>
          <w:gallery w:val="placeholder"/>
        </w:category>
        <w:types>
          <w:type w:val="bbPlcHdr"/>
        </w:types>
        <w:behaviors>
          <w:behavior w:val="content"/>
        </w:behaviors>
        <w:description w:val=""/>
        <w:guid w:val="{AFC8584E-F369-4486-9A9B-34CAAF0E4B66}"/>
      </w:docPartPr>
      <w:docPartBody>
        <w:p w14:paraId="4FE3A353">
          <w:pPr>
            <w:pStyle w:val="5"/>
          </w:pPr>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8A4"/>
    <w:rsid w:val="001C61B9"/>
    <w:rsid w:val="001E719F"/>
    <w:rsid w:val="002218A4"/>
    <w:rsid w:val="00284073"/>
    <w:rsid w:val="007B2438"/>
    <w:rsid w:val="008E4122"/>
    <w:rsid w:val="009147F4"/>
    <w:rsid w:val="00A21E63"/>
    <w:rsid w:val="00A91FDE"/>
    <w:rsid w:val="00B06560"/>
    <w:rsid w:val="00D34AEC"/>
    <w:rsid w:val="00E91639"/>
    <w:rsid w:val="00ED2264"/>
    <w:rsid w:val="00F50495"/>
    <w:rsid w:val="00FD08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72B77DB749804158B30A2318A9CC564E"/>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6">
    <w:name w:val="DF262AA9FE264A0F84384FA2A5C24226"/>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7">
    <w:name w:val="4FB0B0E0B80A4A46BB9C9C544292AD37"/>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BD2A66-7A4F-4A7C-9B8B-27DED24BAD4D}">
  <ds:schemaRefs/>
</ds:datastoreItem>
</file>

<file path=docProps/app.xml><?xml version="1.0" encoding="utf-8"?>
<Properties xmlns="http://schemas.openxmlformats.org/officeDocument/2006/extended-properties" xmlns:vt="http://schemas.openxmlformats.org/officeDocument/2006/docPropsVTypes">
  <Template>团体标准</Template>
  <Company>PCMI</Company>
  <Pages>18</Pages>
  <Words>3527</Words>
  <Characters>4275</Characters>
  <Lines>94</Lines>
  <Paragraphs>26</Paragraphs>
  <TotalTime>0</TotalTime>
  <ScaleCrop>false</ScaleCrop>
  <LinksUpToDate>false</LinksUpToDate>
  <CharactersWithSpaces>4525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2025-08-14T02:33:00Z</dcterms:created>
  <dc:creator>EDY</dc:creator>
  <dc:description>&lt;config cover="true" show_menu="true" version="1.0.0" doctype="SDKXY"&gt;_x000d_
&lt;/config&gt;</dc:description>
  <cp:lastModifiedBy>刘伟</cp:lastModifiedBy>
  <cp:lastPrinted>2021-02-02T08:22:00Z</cp:lastPrinted>
  <dcterms:modified xsi:type="dcterms:W3CDTF">2025-09-12T03:36:37Z</dcterms:modified>
  <dc:title>团体标准</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团体标准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DoublePage">
    <vt:lpwstr>true</vt:lpwstr>
  </property>
  <property fmtid="{D5CDD505-2E9C-101B-9397-08002B2CF9AE}" pid="15" name="KSOTemplateDocerSaveRecord">
    <vt:lpwstr>eyJoZGlkIjoiYjM3NWI3MTU1ZWU0MDRkNTM2YTI3OTJmMGIxYjdhMDYiLCJ1c2VySWQiOiIyMzU3NDAxMTUifQ==</vt:lpwstr>
  </property>
  <property fmtid="{D5CDD505-2E9C-101B-9397-08002B2CF9AE}" pid="16" name="KSOProductBuildVer">
    <vt:lpwstr>2052-12.1.0.22529</vt:lpwstr>
  </property>
  <property fmtid="{D5CDD505-2E9C-101B-9397-08002B2CF9AE}" pid="17" name="ICV">
    <vt:lpwstr>EAF39C16497C4E0F8FE07EC192324EE4_13</vt:lpwstr>
  </property>
</Properties>
</file>